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EBF" w:rsidRDefault="00C54EBF" w:rsidP="00C54EBF">
      <w:pPr>
        <w:adjustRightInd w:val="0"/>
        <w:snapToGrid w:val="0"/>
        <w:spacing w:line="360" w:lineRule="auto"/>
        <w:ind w:firstLineChars="100" w:firstLine="210"/>
        <w:rPr>
          <w:rFonts w:ascii="黑体" w:eastAsia="黑体" w:hAnsi="黑体"/>
        </w:rPr>
      </w:pPr>
      <w:r>
        <w:rPr>
          <w:rFonts w:ascii="黑体" w:eastAsia="黑体" w:hAnsi="黑体" w:hint="eastAsia"/>
        </w:rPr>
        <w:t>证券代码：601188</w:t>
      </w:r>
      <w:r>
        <w:rPr>
          <w:rFonts w:ascii="黑体" w:eastAsia="黑体" w:hAnsi="黑体"/>
        </w:rPr>
        <w:t xml:space="preserve"> </w:t>
      </w:r>
      <w:r>
        <w:rPr>
          <w:rFonts w:ascii="黑体" w:eastAsia="黑体" w:hAnsi="黑体" w:hint="eastAsia"/>
        </w:rPr>
        <w:t xml:space="preserve">      </w:t>
      </w:r>
      <w:r>
        <w:rPr>
          <w:rFonts w:ascii="黑体" w:eastAsia="黑体" w:hAnsi="黑体"/>
        </w:rPr>
        <w:t xml:space="preserve"> </w:t>
      </w:r>
      <w:r>
        <w:rPr>
          <w:rFonts w:ascii="黑体" w:eastAsia="黑体" w:hAnsi="黑体" w:hint="eastAsia"/>
        </w:rPr>
        <w:t xml:space="preserve">    </w:t>
      </w:r>
      <w:r>
        <w:rPr>
          <w:rFonts w:ascii="黑体" w:eastAsia="黑体" w:hAnsi="黑体"/>
        </w:rPr>
        <w:t xml:space="preserve"> </w:t>
      </w:r>
      <w:r>
        <w:rPr>
          <w:rFonts w:ascii="黑体" w:eastAsia="黑体" w:hAnsi="黑体" w:hint="eastAsia"/>
        </w:rPr>
        <w:t>证券简称：龙江交通</w:t>
      </w:r>
      <w:r>
        <w:rPr>
          <w:rFonts w:ascii="黑体" w:eastAsia="黑体" w:hAnsi="黑体"/>
        </w:rPr>
        <w:t xml:space="preserve">  </w:t>
      </w:r>
      <w:r>
        <w:rPr>
          <w:rFonts w:ascii="黑体" w:eastAsia="黑体" w:hAnsi="黑体" w:hint="eastAsia"/>
        </w:rPr>
        <w:t xml:space="preserve">         公告编号：临2021-0</w:t>
      </w:r>
      <w:r w:rsidR="00E258AA">
        <w:rPr>
          <w:rFonts w:ascii="黑体" w:eastAsia="黑体" w:hAnsi="黑体" w:hint="eastAsia"/>
        </w:rPr>
        <w:t>1</w:t>
      </w:r>
      <w:r w:rsidR="0047614C">
        <w:rPr>
          <w:rFonts w:ascii="黑体" w:eastAsia="黑体" w:hAnsi="黑体" w:hint="eastAsia"/>
        </w:rPr>
        <w:t>2</w:t>
      </w:r>
    </w:p>
    <w:p w:rsidR="00C54EBF" w:rsidRDefault="00C54EBF" w:rsidP="00C54EBF">
      <w:pPr>
        <w:adjustRightInd w:val="0"/>
        <w:snapToGrid w:val="0"/>
        <w:ind w:firstLineChars="200" w:firstLine="420"/>
        <w:jc w:val="left"/>
        <w:rPr>
          <w:rFonts w:ascii="宋体" w:hAnsi="宋体"/>
        </w:rPr>
      </w:pPr>
    </w:p>
    <w:p w:rsidR="00C54EBF" w:rsidRDefault="00C54EBF" w:rsidP="00C54EBF">
      <w:pPr>
        <w:adjustRightInd w:val="0"/>
        <w:snapToGrid w:val="0"/>
        <w:spacing w:line="360" w:lineRule="auto"/>
        <w:jc w:val="center"/>
        <w:rPr>
          <w:rFonts w:ascii="黑体" w:eastAsia="黑体" w:hAnsi="黑体"/>
          <w:b/>
          <w:color w:val="FF0000"/>
          <w:sz w:val="36"/>
          <w:szCs w:val="36"/>
        </w:rPr>
      </w:pPr>
      <w:r>
        <w:rPr>
          <w:rFonts w:ascii="黑体" w:eastAsia="黑体" w:hAnsi="黑体" w:hint="eastAsia"/>
          <w:b/>
          <w:color w:val="FF0000"/>
          <w:sz w:val="36"/>
          <w:szCs w:val="36"/>
        </w:rPr>
        <w:t>黑龙江交通发展股份有限公司</w:t>
      </w:r>
    </w:p>
    <w:p w:rsidR="00C54EBF" w:rsidRDefault="00C54EBF" w:rsidP="00C54EBF">
      <w:pPr>
        <w:adjustRightInd w:val="0"/>
        <w:snapToGrid w:val="0"/>
        <w:spacing w:line="360" w:lineRule="auto"/>
        <w:jc w:val="center"/>
        <w:rPr>
          <w:rFonts w:ascii="黑体" w:eastAsia="黑体" w:hAnsi="黑体"/>
          <w:b/>
          <w:color w:val="FF0000"/>
          <w:sz w:val="36"/>
          <w:szCs w:val="36"/>
        </w:rPr>
      </w:pPr>
      <w:r>
        <w:rPr>
          <w:rFonts w:ascii="黑体" w:eastAsia="黑体" w:hAnsi="黑体" w:hint="eastAsia"/>
          <w:b/>
          <w:color w:val="FF0000"/>
          <w:sz w:val="36"/>
          <w:szCs w:val="36"/>
        </w:rPr>
        <w:t>关于202</w:t>
      </w:r>
      <w:r w:rsidR="001F6587">
        <w:rPr>
          <w:rFonts w:ascii="黑体" w:eastAsia="黑体" w:hAnsi="黑体" w:hint="eastAsia"/>
          <w:b/>
          <w:color w:val="FF0000"/>
          <w:sz w:val="36"/>
          <w:szCs w:val="36"/>
        </w:rPr>
        <w:t>1</w:t>
      </w:r>
      <w:r>
        <w:rPr>
          <w:rFonts w:ascii="黑体" w:eastAsia="黑体" w:hAnsi="黑体" w:hint="eastAsia"/>
          <w:b/>
          <w:color w:val="FF0000"/>
          <w:sz w:val="36"/>
          <w:szCs w:val="36"/>
        </w:rPr>
        <w:t>年度日常关联交易预计的公告</w:t>
      </w:r>
    </w:p>
    <w:p w:rsidR="00C54EBF" w:rsidRDefault="00C54EBF" w:rsidP="00C54EBF">
      <w:pPr>
        <w:adjustRightInd w:val="0"/>
        <w:snapToGrid w:val="0"/>
        <w:jc w:val="center"/>
        <w:rPr>
          <w:rFonts w:ascii="黑体" w:eastAsia="黑体" w:hAnsi="黑体"/>
          <w:b/>
          <w:color w:val="FF0000"/>
          <w:sz w:val="18"/>
          <w:szCs w:val="18"/>
        </w:rPr>
      </w:pPr>
    </w:p>
    <w:p w:rsidR="00C54EBF" w:rsidRDefault="00C54EBF" w:rsidP="00C54EBF">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宋体" w:hAnsi="宋体"/>
          <w:color w:val="000000"/>
        </w:rPr>
      </w:pPr>
      <w:r>
        <w:rPr>
          <w:rFonts w:ascii="宋体" w:hAnsi="宋体" w:hint="eastAsia"/>
          <w:color w:val="000000"/>
        </w:rPr>
        <w:t>本公司董事会及全体董事保证本公告内容不存在任何虚假记载、误导性陈述或者重大遗漏，并对其内容的真实性、准确性和完整性承担个别及连带责任。</w:t>
      </w:r>
    </w:p>
    <w:p w:rsidR="00C54EBF" w:rsidRDefault="00C54EBF" w:rsidP="00C54EBF">
      <w:pPr>
        <w:ind w:firstLineChars="200" w:firstLine="361"/>
        <w:rPr>
          <w:rFonts w:ascii="宋体" w:hAnsi="宋体"/>
          <w:b/>
          <w:color w:val="000000"/>
          <w:sz w:val="18"/>
          <w:szCs w:val="18"/>
        </w:rPr>
      </w:pPr>
    </w:p>
    <w:p w:rsidR="00C54EBF" w:rsidRDefault="00C54EBF" w:rsidP="00C54EBF">
      <w:pPr>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重要内容提示：</w:t>
      </w:r>
    </w:p>
    <w:p w:rsidR="00C54EBF" w:rsidRDefault="00C54EBF" w:rsidP="00C54EBF">
      <w:pPr>
        <w:pStyle w:val="a6"/>
        <w:numPr>
          <w:ilvl w:val="0"/>
          <w:numId w:val="1"/>
        </w:numPr>
        <w:autoSpaceDE w:val="0"/>
        <w:autoSpaceDN w:val="0"/>
        <w:adjustRightInd w:val="0"/>
        <w:spacing w:line="360" w:lineRule="auto"/>
        <w:ind w:firstLineChars="0"/>
        <w:jc w:val="left"/>
        <w:rPr>
          <w:rFonts w:ascii="宋体" w:hAnsi="宋体"/>
          <w:sz w:val="24"/>
          <w:szCs w:val="24"/>
        </w:rPr>
      </w:pPr>
      <w:r>
        <w:rPr>
          <w:rFonts w:ascii="宋体" w:hAnsi="宋体" w:hint="eastAsia"/>
          <w:sz w:val="24"/>
          <w:szCs w:val="24"/>
        </w:rPr>
        <w:t>是否需要提交股东大会审议：是</w:t>
      </w:r>
    </w:p>
    <w:p w:rsidR="00C54EBF" w:rsidRDefault="00C54EBF" w:rsidP="00C54EBF">
      <w:pPr>
        <w:pStyle w:val="a6"/>
        <w:numPr>
          <w:ilvl w:val="0"/>
          <w:numId w:val="1"/>
        </w:numPr>
        <w:autoSpaceDE w:val="0"/>
        <w:autoSpaceDN w:val="0"/>
        <w:adjustRightInd w:val="0"/>
        <w:spacing w:line="360" w:lineRule="auto"/>
        <w:ind w:firstLineChars="0"/>
        <w:jc w:val="left"/>
        <w:rPr>
          <w:rFonts w:ascii="宋体" w:hAnsi="宋体"/>
          <w:sz w:val="24"/>
          <w:szCs w:val="24"/>
        </w:rPr>
      </w:pPr>
      <w:r>
        <w:rPr>
          <w:rFonts w:ascii="宋体" w:hAnsi="宋体" w:hint="eastAsia"/>
          <w:sz w:val="24"/>
          <w:szCs w:val="24"/>
        </w:rPr>
        <w:t>日常关联交易对上市公司的影响：公司202</w:t>
      </w:r>
      <w:r w:rsidR="00E258AA">
        <w:rPr>
          <w:rFonts w:ascii="宋体" w:hAnsi="宋体" w:hint="eastAsia"/>
          <w:sz w:val="24"/>
          <w:szCs w:val="24"/>
        </w:rPr>
        <w:t>1</w:t>
      </w:r>
      <w:r>
        <w:rPr>
          <w:rFonts w:ascii="宋体" w:hAnsi="宋体" w:hint="eastAsia"/>
          <w:sz w:val="24"/>
          <w:szCs w:val="24"/>
        </w:rPr>
        <w:t>年度日常关联交易符合公司经营</w:t>
      </w:r>
    </w:p>
    <w:p w:rsidR="00C54EBF" w:rsidRDefault="00C54EBF" w:rsidP="00C54EBF">
      <w:pPr>
        <w:autoSpaceDE w:val="0"/>
        <w:autoSpaceDN w:val="0"/>
        <w:adjustRightInd w:val="0"/>
        <w:spacing w:line="360" w:lineRule="auto"/>
        <w:jc w:val="left"/>
        <w:rPr>
          <w:rFonts w:ascii="宋体" w:hAnsi="宋体"/>
          <w:sz w:val="24"/>
          <w:szCs w:val="24"/>
        </w:rPr>
      </w:pPr>
      <w:r>
        <w:rPr>
          <w:rFonts w:ascii="宋体" w:hAnsi="宋体" w:hint="eastAsia"/>
          <w:sz w:val="24"/>
          <w:szCs w:val="24"/>
        </w:rPr>
        <w:t>和发展的实际需要，关联交易涉及的价格遵循了公平、公开、公正的定价原则，公司主营业务不会因此形成依赖。</w:t>
      </w:r>
    </w:p>
    <w:p w:rsidR="00C54EBF" w:rsidRDefault="00C54EBF" w:rsidP="00C54EBF">
      <w:pPr>
        <w:pStyle w:val="a6"/>
        <w:numPr>
          <w:ilvl w:val="0"/>
          <w:numId w:val="1"/>
        </w:numPr>
        <w:autoSpaceDE w:val="0"/>
        <w:autoSpaceDN w:val="0"/>
        <w:adjustRightInd w:val="0"/>
        <w:spacing w:line="360" w:lineRule="auto"/>
        <w:ind w:firstLineChars="0"/>
        <w:jc w:val="left"/>
        <w:rPr>
          <w:rFonts w:ascii="宋体" w:hAnsi="宋体"/>
          <w:sz w:val="24"/>
          <w:szCs w:val="24"/>
        </w:rPr>
      </w:pPr>
      <w:r w:rsidRPr="00642B63">
        <w:rPr>
          <w:rFonts w:ascii="宋体" w:hAnsi="宋体" w:hint="eastAsia"/>
          <w:sz w:val="24"/>
          <w:szCs w:val="24"/>
        </w:rPr>
        <w:t>公司《关于202</w:t>
      </w:r>
      <w:r w:rsidR="00E258AA">
        <w:rPr>
          <w:rFonts w:ascii="宋体" w:hAnsi="宋体" w:hint="eastAsia"/>
          <w:sz w:val="24"/>
          <w:szCs w:val="24"/>
        </w:rPr>
        <w:t>1</w:t>
      </w:r>
      <w:r w:rsidRPr="00642B63">
        <w:rPr>
          <w:rFonts w:ascii="宋体" w:hAnsi="宋体" w:hint="eastAsia"/>
          <w:sz w:val="24"/>
          <w:szCs w:val="24"/>
        </w:rPr>
        <w:t>年度日常关联交易预计的议案》经公司第三届董事会第</w:t>
      </w:r>
      <w:r w:rsidR="00E258AA">
        <w:rPr>
          <w:rFonts w:ascii="宋体" w:hAnsi="宋体" w:hint="eastAsia"/>
          <w:sz w:val="24"/>
          <w:szCs w:val="24"/>
        </w:rPr>
        <w:t>四</w:t>
      </w:r>
      <w:r w:rsidRPr="00642B63">
        <w:rPr>
          <w:rFonts w:ascii="宋体" w:hAnsi="宋体" w:hint="eastAsia"/>
          <w:sz w:val="24"/>
          <w:szCs w:val="24"/>
        </w:rPr>
        <w:t>次</w:t>
      </w:r>
    </w:p>
    <w:p w:rsidR="00C54EBF" w:rsidRPr="00642B63" w:rsidRDefault="00C54EBF" w:rsidP="00C54EBF">
      <w:pPr>
        <w:autoSpaceDE w:val="0"/>
        <w:autoSpaceDN w:val="0"/>
        <w:adjustRightInd w:val="0"/>
        <w:spacing w:line="360" w:lineRule="auto"/>
        <w:jc w:val="left"/>
        <w:rPr>
          <w:rFonts w:ascii="宋体" w:hAnsi="宋体"/>
          <w:sz w:val="24"/>
          <w:szCs w:val="24"/>
        </w:rPr>
      </w:pPr>
      <w:r w:rsidRPr="00642B63">
        <w:rPr>
          <w:rFonts w:ascii="宋体" w:hAnsi="宋体" w:hint="eastAsia"/>
          <w:sz w:val="24"/>
          <w:szCs w:val="24"/>
        </w:rPr>
        <w:t>会议审议通过。</w:t>
      </w:r>
    </w:p>
    <w:p w:rsidR="00C54EBF" w:rsidRDefault="00C54EBF" w:rsidP="00C54EBF">
      <w:pPr>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根据《上海证券交易所股票上市规则》及对关联交易审议披露的要求，黑龙江交通发展股份有限公司（简称“公司”或“本公司”）依据上年度在龙江银行股份有限公司（简称“龙江银行”）存款情况以及与控股股东黑龙江省高速公路集团</w:t>
      </w:r>
      <w:r w:rsidR="00E258AA">
        <w:rPr>
          <w:rFonts w:ascii="宋体" w:hAnsi="宋体" w:hint="eastAsia"/>
          <w:sz w:val="24"/>
          <w:szCs w:val="24"/>
        </w:rPr>
        <w:t>有限</w:t>
      </w:r>
      <w:r>
        <w:rPr>
          <w:rFonts w:ascii="宋体" w:hAnsi="宋体" w:hint="eastAsia"/>
          <w:sz w:val="24"/>
          <w:szCs w:val="24"/>
        </w:rPr>
        <w:t>公司（简称“龙高集团”）日常关联交易执行情况及202</w:t>
      </w:r>
      <w:r w:rsidR="00E258AA">
        <w:rPr>
          <w:rFonts w:ascii="宋体" w:hAnsi="宋体" w:hint="eastAsia"/>
          <w:sz w:val="24"/>
          <w:szCs w:val="24"/>
        </w:rPr>
        <w:t>1</w:t>
      </w:r>
      <w:r>
        <w:rPr>
          <w:rFonts w:ascii="宋体" w:hAnsi="宋体" w:hint="eastAsia"/>
          <w:sz w:val="24"/>
          <w:szCs w:val="24"/>
        </w:rPr>
        <w:t>年的经营计划，对202</w:t>
      </w:r>
      <w:r w:rsidR="00E258AA">
        <w:rPr>
          <w:rFonts w:ascii="宋体" w:hAnsi="宋体" w:hint="eastAsia"/>
          <w:sz w:val="24"/>
          <w:szCs w:val="24"/>
        </w:rPr>
        <w:t>1</w:t>
      </w:r>
      <w:r>
        <w:rPr>
          <w:rFonts w:ascii="宋体" w:hAnsi="宋体" w:hint="eastAsia"/>
          <w:sz w:val="24"/>
          <w:szCs w:val="24"/>
        </w:rPr>
        <w:t>年全年累计发生的同类日常关联交易总额进行了合理预计，具体如下：</w:t>
      </w:r>
    </w:p>
    <w:p w:rsidR="00C54EBF" w:rsidRDefault="00C54EBF" w:rsidP="00C54EBF">
      <w:pPr>
        <w:adjustRightInd w:val="0"/>
        <w:spacing w:line="360" w:lineRule="auto"/>
        <w:ind w:firstLineChars="200" w:firstLine="480"/>
        <w:jc w:val="left"/>
        <w:rPr>
          <w:rFonts w:ascii="宋体" w:hAnsi="宋体"/>
          <w:bCs/>
          <w:sz w:val="24"/>
          <w:szCs w:val="24"/>
        </w:rPr>
      </w:pPr>
      <w:r>
        <w:rPr>
          <w:rFonts w:ascii="宋体" w:hAnsi="宋体" w:hint="eastAsia"/>
          <w:bCs/>
          <w:sz w:val="24"/>
          <w:szCs w:val="24"/>
        </w:rPr>
        <w:t>一、日常关联交易基本情况</w:t>
      </w:r>
    </w:p>
    <w:p w:rsidR="00C54EBF" w:rsidRDefault="00C54EBF" w:rsidP="00C54EBF">
      <w:pPr>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（一）日常关联交易履行的审议程序</w:t>
      </w:r>
    </w:p>
    <w:p w:rsidR="00C54EBF" w:rsidRDefault="00C54EBF" w:rsidP="00C54EBF">
      <w:pPr>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20</w:t>
      </w:r>
      <w:r w:rsidR="00E258AA">
        <w:rPr>
          <w:rFonts w:ascii="宋体" w:hAnsi="宋体" w:hint="eastAsia"/>
          <w:sz w:val="24"/>
          <w:szCs w:val="24"/>
        </w:rPr>
        <w:t>21</w:t>
      </w:r>
      <w:r>
        <w:rPr>
          <w:rFonts w:ascii="宋体" w:hAnsi="宋体" w:hint="eastAsia"/>
          <w:sz w:val="24"/>
          <w:szCs w:val="24"/>
        </w:rPr>
        <w:t>年</w:t>
      </w:r>
      <w:r w:rsidR="00E258AA">
        <w:rPr>
          <w:rFonts w:ascii="宋体" w:hAnsi="宋体" w:hint="eastAsia"/>
          <w:sz w:val="24"/>
          <w:szCs w:val="24"/>
        </w:rPr>
        <w:t>3</w:t>
      </w:r>
      <w:r>
        <w:rPr>
          <w:rFonts w:ascii="宋体" w:hAnsi="宋体" w:hint="eastAsia"/>
          <w:sz w:val="24"/>
          <w:szCs w:val="24"/>
        </w:rPr>
        <w:t>月</w:t>
      </w:r>
      <w:r w:rsidR="00E258AA">
        <w:rPr>
          <w:rFonts w:ascii="宋体" w:hAnsi="宋体" w:hint="eastAsia"/>
          <w:sz w:val="24"/>
          <w:szCs w:val="24"/>
        </w:rPr>
        <w:t>25</w:t>
      </w:r>
      <w:r>
        <w:rPr>
          <w:rFonts w:ascii="宋体" w:hAnsi="宋体" w:hint="eastAsia"/>
          <w:sz w:val="24"/>
          <w:szCs w:val="24"/>
        </w:rPr>
        <w:t>日，公司召开了的第三届董事会第</w:t>
      </w:r>
      <w:r w:rsidR="00E258AA">
        <w:rPr>
          <w:rFonts w:ascii="宋体" w:hAnsi="宋体" w:hint="eastAsia"/>
          <w:sz w:val="24"/>
          <w:szCs w:val="24"/>
        </w:rPr>
        <w:t>四</w:t>
      </w:r>
      <w:r>
        <w:rPr>
          <w:rFonts w:ascii="宋体" w:hAnsi="宋体" w:hint="eastAsia"/>
          <w:sz w:val="24"/>
          <w:szCs w:val="24"/>
        </w:rPr>
        <w:t>次会议，审议通过了《关于202</w:t>
      </w:r>
      <w:r w:rsidR="00E258AA">
        <w:rPr>
          <w:rFonts w:ascii="宋体" w:hAnsi="宋体" w:hint="eastAsia"/>
          <w:sz w:val="24"/>
          <w:szCs w:val="24"/>
        </w:rPr>
        <w:t>1</w:t>
      </w:r>
      <w:r>
        <w:rPr>
          <w:rFonts w:ascii="宋体" w:hAnsi="宋体" w:hint="eastAsia"/>
          <w:sz w:val="24"/>
          <w:szCs w:val="24"/>
        </w:rPr>
        <w:t>年度日常关联交易预计的议案》，3名关联董事回避表决，其他出席会议的非关联董事表决一致通过了上述议案，公司独立董事对上述日常关联交易议案进行了事前认可并发表了独立意见。</w:t>
      </w:r>
    </w:p>
    <w:p w:rsidR="00C54EBF" w:rsidRDefault="00C54EBF" w:rsidP="00C54EBF">
      <w:pPr>
        <w:spacing w:line="360" w:lineRule="auto"/>
        <w:ind w:firstLine="540"/>
        <w:rPr>
          <w:rFonts w:ascii="宋体" w:hAnsi="宋体"/>
          <w:sz w:val="24"/>
          <w:szCs w:val="24"/>
        </w:rPr>
      </w:pPr>
      <w:r>
        <w:rPr>
          <w:rFonts w:ascii="宋体" w:hAnsi="宋体" w:hint="eastAsia"/>
          <w:sz w:val="24"/>
          <w:szCs w:val="24"/>
        </w:rPr>
        <w:t>独立董事意见：公司202</w:t>
      </w:r>
      <w:r w:rsidR="00E258AA">
        <w:rPr>
          <w:rFonts w:ascii="宋体" w:hAnsi="宋体" w:hint="eastAsia"/>
          <w:sz w:val="24"/>
          <w:szCs w:val="24"/>
        </w:rPr>
        <w:t>1</w:t>
      </w:r>
      <w:r>
        <w:rPr>
          <w:rFonts w:ascii="宋体" w:hAnsi="宋体" w:hint="eastAsia"/>
          <w:sz w:val="24"/>
          <w:szCs w:val="24"/>
        </w:rPr>
        <w:t>年度日常关联交易预计事项符合公司经营和发展的实际需要，公司与关联方的关联交易均符合有关法律、法规及《公司章程》的规定，关联交易所涉及的价格客观公允，关联交易公平、合理。关联董事回避表决，董事会决策程序符合《公司法》、《公司章程》等有关规定，没有损害公司及其他股东，特别是</w:t>
      </w:r>
      <w:r>
        <w:rPr>
          <w:rFonts w:ascii="宋体" w:hAnsi="宋体" w:hint="eastAsia"/>
          <w:sz w:val="24"/>
          <w:szCs w:val="24"/>
        </w:rPr>
        <w:lastRenderedPageBreak/>
        <w:t>中小股东利益的情形。</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（二）20</w:t>
      </w:r>
      <w:r w:rsidR="00E258AA">
        <w:rPr>
          <w:rFonts w:ascii="宋体" w:hAnsi="宋体" w:hint="eastAsia"/>
          <w:sz w:val="24"/>
          <w:szCs w:val="24"/>
        </w:rPr>
        <w:t>20</w:t>
      </w:r>
      <w:r>
        <w:rPr>
          <w:rFonts w:ascii="宋体" w:hAnsi="宋体" w:hint="eastAsia"/>
          <w:sz w:val="24"/>
          <w:szCs w:val="24"/>
        </w:rPr>
        <w:t>年度日常关联交易的预计和执行情况</w:t>
      </w:r>
    </w:p>
    <w:p w:rsidR="00C54EBF" w:rsidRDefault="00C54EBF" w:rsidP="00C54EBF">
      <w:pPr>
        <w:adjustRightInd w:val="0"/>
        <w:spacing w:line="360" w:lineRule="auto"/>
        <w:ind w:firstLineChars="200" w:firstLine="480"/>
        <w:jc w:val="left"/>
        <w:rPr>
          <w:rFonts w:ascii="宋体" w:hAnsi="宋体"/>
          <w:sz w:val="24"/>
        </w:rPr>
      </w:pPr>
      <w:r>
        <w:rPr>
          <w:rFonts w:ascii="宋体" w:hAnsi="宋体" w:hint="eastAsia"/>
          <w:sz w:val="24"/>
        </w:rPr>
        <w:t xml:space="preserve">                                              单位：万元  币种：人民币</w:t>
      </w:r>
    </w:p>
    <w:tbl>
      <w:tblPr>
        <w:tblW w:w="9455" w:type="dxa"/>
        <w:tblLayout w:type="fixed"/>
        <w:tblLook w:val="04A0" w:firstRow="1" w:lastRow="0" w:firstColumn="1" w:lastColumn="0" w:noHBand="0" w:noVBand="1"/>
      </w:tblPr>
      <w:tblGrid>
        <w:gridCol w:w="1686"/>
        <w:gridCol w:w="1701"/>
        <w:gridCol w:w="1701"/>
        <w:gridCol w:w="1843"/>
        <w:gridCol w:w="2524"/>
      </w:tblGrid>
      <w:tr w:rsidR="00C54EBF" w:rsidTr="009A0A95">
        <w:trPr>
          <w:trHeight w:val="1251"/>
        </w:trPr>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rsidR="00C54EBF" w:rsidRDefault="00C54EBF" w:rsidP="009A0A95">
            <w:pPr>
              <w:widowControl/>
              <w:jc w:val="center"/>
              <w:rPr>
                <w:rFonts w:ascii="宋体" w:hAnsi="宋体" w:cs="宋体"/>
                <w:bCs/>
                <w:color w:val="000000"/>
                <w:kern w:val="0"/>
                <w:sz w:val="24"/>
              </w:rPr>
            </w:pPr>
            <w:r>
              <w:rPr>
                <w:rFonts w:ascii="宋体" w:hAnsi="宋体" w:hint="eastAsia"/>
                <w:sz w:val="24"/>
              </w:rPr>
              <w:t xml:space="preserve">                                                    </w:t>
            </w:r>
            <w:r>
              <w:rPr>
                <w:rFonts w:ascii="宋体" w:hAnsi="宋体" w:cs="宋体" w:hint="eastAsia"/>
                <w:bCs/>
                <w:color w:val="000000"/>
                <w:kern w:val="0"/>
                <w:sz w:val="24"/>
              </w:rPr>
              <w:t>关联交易类别</w:t>
            </w:r>
          </w:p>
        </w:tc>
        <w:tc>
          <w:tcPr>
            <w:tcW w:w="1701" w:type="dxa"/>
            <w:tcBorders>
              <w:top w:val="single" w:sz="4" w:space="0" w:color="auto"/>
              <w:left w:val="nil"/>
              <w:bottom w:val="single" w:sz="4" w:space="0" w:color="auto"/>
              <w:right w:val="single" w:sz="4" w:space="0" w:color="auto"/>
            </w:tcBorders>
            <w:shd w:val="clear" w:color="auto" w:fill="FFFFFF"/>
            <w:vAlign w:val="center"/>
          </w:tcPr>
          <w:p w:rsidR="00C54EBF" w:rsidRDefault="00C54EBF" w:rsidP="009A0A95">
            <w:pPr>
              <w:widowControl/>
              <w:jc w:val="center"/>
              <w:rPr>
                <w:rFonts w:ascii="宋体" w:hAnsi="宋体" w:cs="宋体"/>
                <w:bCs/>
                <w:color w:val="000000"/>
                <w:kern w:val="0"/>
                <w:sz w:val="24"/>
              </w:rPr>
            </w:pPr>
            <w:r>
              <w:rPr>
                <w:rFonts w:ascii="宋体" w:hAnsi="宋体" w:cs="宋体" w:hint="eastAsia"/>
                <w:bCs/>
                <w:color w:val="000000"/>
                <w:kern w:val="0"/>
                <w:sz w:val="24"/>
              </w:rPr>
              <w:t>关联人</w:t>
            </w:r>
          </w:p>
        </w:tc>
        <w:tc>
          <w:tcPr>
            <w:tcW w:w="1701" w:type="dxa"/>
            <w:tcBorders>
              <w:top w:val="single" w:sz="4" w:space="0" w:color="auto"/>
              <w:left w:val="nil"/>
              <w:bottom w:val="single" w:sz="4" w:space="0" w:color="auto"/>
              <w:right w:val="single" w:sz="4" w:space="0" w:color="auto"/>
            </w:tcBorders>
            <w:shd w:val="clear" w:color="auto" w:fill="FFFFFF"/>
            <w:vAlign w:val="center"/>
          </w:tcPr>
          <w:p w:rsidR="00C54EBF" w:rsidRDefault="00C54EBF" w:rsidP="009A0A95">
            <w:pPr>
              <w:widowControl/>
              <w:jc w:val="center"/>
              <w:rPr>
                <w:rFonts w:ascii="宋体" w:hAnsi="宋体" w:cs="宋体"/>
                <w:bCs/>
                <w:color w:val="000000"/>
                <w:kern w:val="0"/>
                <w:sz w:val="24"/>
              </w:rPr>
            </w:pPr>
            <w:r>
              <w:rPr>
                <w:rFonts w:ascii="宋体" w:hAnsi="宋体" w:cs="宋体" w:hint="eastAsia"/>
                <w:bCs/>
                <w:color w:val="000000"/>
                <w:kern w:val="0"/>
                <w:sz w:val="24"/>
              </w:rPr>
              <w:t>上年（前次）预计金额</w:t>
            </w:r>
          </w:p>
        </w:tc>
        <w:tc>
          <w:tcPr>
            <w:tcW w:w="1843" w:type="dxa"/>
            <w:tcBorders>
              <w:top w:val="single" w:sz="4" w:space="0" w:color="auto"/>
              <w:left w:val="nil"/>
              <w:bottom w:val="single" w:sz="4" w:space="0" w:color="auto"/>
              <w:right w:val="single" w:sz="4" w:space="0" w:color="auto"/>
            </w:tcBorders>
            <w:shd w:val="clear" w:color="auto" w:fill="FFFFFF"/>
            <w:vAlign w:val="center"/>
          </w:tcPr>
          <w:p w:rsidR="00C54EBF" w:rsidRDefault="00C54EBF" w:rsidP="009A0A95">
            <w:pPr>
              <w:widowControl/>
              <w:jc w:val="center"/>
              <w:rPr>
                <w:rFonts w:ascii="宋体" w:hAnsi="宋体" w:cs="宋体"/>
                <w:bCs/>
                <w:color w:val="000000"/>
                <w:kern w:val="0"/>
                <w:sz w:val="24"/>
              </w:rPr>
            </w:pPr>
            <w:r>
              <w:rPr>
                <w:rFonts w:ascii="宋体" w:hAnsi="宋体" w:cs="宋体" w:hint="eastAsia"/>
                <w:bCs/>
                <w:color w:val="000000"/>
                <w:kern w:val="0"/>
                <w:sz w:val="24"/>
              </w:rPr>
              <w:t>上年（前次）实际发生金额</w:t>
            </w:r>
          </w:p>
        </w:tc>
        <w:tc>
          <w:tcPr>
            <w:tcW w:w="2524" w:type="dxa"/>
            <w:tcBorders>
              <w:top w:val="single" w:sz="4" w:space="0" w:color="auto"/>
              <w:left w:val="nil"/>
              <w:bottom w:val="single" w:sz="4" w:space="0" w:color="auto"/>
              <w:right w:val="single" w:sz="4" w:space="0" w:color="auto"/>
            </w:tcBorders>
            <w:shd w:val="clear" w:color="auto" w:fill="FFFFFF"/>
            <w:vAlign w:val="center"/>
          </w:tcPr>
          <w:p w:rsidR="00C54EBF" w:rsidRDefault="00C54EBF" w:rsidP="009A0A95">
            <w:pPr>
              <w:widowControl/>
              <w:jc w:val="center"/>
              <w:rPr>
                <w:rFonts w:ascii="宋体" w:hAnsi="宋体" w:cs="宋体"/>
                <w:bCs/>
                <w:color w:val="000000"/>
                <w:kern w:val="0"/>
                <w:sz w:val="24"/>
              </w:rPr>
            </w:pPr>
            <w:r>
              <w:rPr>
                <w:rFonts w:ascii="宋体" w:hAnsi="宋体" w:cs="宋体" w:hint="eastAsia"/>
                <w:bCs/>
                <w:color w:val="000000"/>
                <w:kern w:val="0"/>
                <w:sz w:val="24"/>
              </w:rPr>
              <w:t>预计金额与实际发生金额差异较大的原因</w:t>
            </w:r>
          </w:p>
        </w:tc>
      </w:tr>
      <w:tr w:rsidR="00E258AA" w:rsidTr="009A0A95">
        <w:trPr>
          <w:trHeight w:val="741"/>
        </w:trPr>
        <w:tc>
          <w:tcPr>
            <w:tcW w:w="1686" w:type="dxa"/>
            <w:tcBorders>
              <w:top w:val="nil"/>
              <w:left w:val="single" w:sz="4" w:space="0" w:color="auto"/>
              <w:bottom w:val="single" w:sz="4" w:space="0" w:color="auto"/>
              <w:right w:val="single" w:sz="4" w:space="0" w:color="auto"/>
            </w:tcBorders>
            <w:vAlign w:val="center"/>
          </w:tcPr>
          <w:p w:rsidR="00E258AA" w:rsidRDefault="00E258AA" w:rsidP="009A0A95">
            <w:pPr>
              <w:widowControl/>
              <w:jc w:val="left"/>
              <w:rPr>
                <w:rFonts w:ascii="宋体" w:hAnsi="宋体" w:cs="宋体"/>
                <w:kern w:val="0"/>
                <w:sz w:val="24"/>
              </w:rPr>
            </w:pPr>
            <w:r>
              <w:rPr>
                <w:rFonts w:ascii="宋体" w:hAnsi="宋体" w:cs="宋体" w:hint="eastAsia"/>
                <w:kern w:val="0"/>
                <w:sz w:val="24"/>
              </w:rPr>
              <w:t>在关联人的财务公司存款</w:t>
            </w:r>
          </w:p>
        </w:tc>
        <w:tc>
          <w:tcPr>
            <w:tcW w:w="1701" w:type="dxa"/>
            <w:tcBorders>
              <w:top w:val="nil"/>
              <w:left w:val="nil"/>
              <w:bottom w:val="single" w:sz="4" w:space="0" w:color="auto"/>
              <w:right w:val="single" w:sz="4" w:space="0" w:color="auto"/>
            </w:tcBorders>
            <w:vAlign w:val="center"/>
          </w:tcPr>
          <w:p w:rsidR="00E258AA" w:rsidRDefault="00E258AA" w:rsidP="009A0A95">
            <w:pPr>
              <w:widowControl/>
              <w:jc w:val="left"/>
              <w:rPr>
                <w:rFonts w:ascii="宋体" w:hAnsi="宋体" w:cs="宋体"/>
                <w:color w:val="000000"/>
                <w:kern w:val="0"/>
                <w:sz w:val="24"/>
              </w:rPr>
            </w:pPr>
            <w:r>
              <w:rPr>
                <w:rFonts w:ascii="宋体" w:hAnsi="宋体" w:cs="宋体" w:hint="eastAsia"/>
                <w:color w:val="000000"/>
                <w:kern w:val="0"/>
                <w:sz w:val="24"/>
              </w:rPr>
              <w:t>龙江银行股份有限公司</w:t>
            </w:r>
          </w:p>
        </w:tc>
        <w:tc>
          <w:tcPr>
            <w:tcW w:w="1701" w:type="dxa"/>
            <w:tcBorders>
              <w:top w:val="nil"/>
              <w:left w:val="nil"/>
              <w:bottom w:val="single" w:sz="4" w:space="0" w:color="auto"/>
              <w:right w:val="single" w:sz="4" w:space="0" w:color="auto"/>
            </w:tcBorders>
            <w:vAlign w:val="center"/>
          </w:tcPr>
          <w:p w:rsidR="00E258AA" w:rsidRPr="00E258AA" w:rsidRDefault="00E258AA" w:rsidP="009A0A95">
            <w:pPr>
              <w:widowControl/>
              <w:jc w:val="right"/>
              <w:rPr>
                <w:rFonts w:ascii="宋体" w:hAnsi="宋体" w:cs="宋体"/>
                <w:color w:val="000000"/>
                <w:kern w:val="0"/>
                <w:sz w:val="24"/>
              </w:rPr>
            </w:pPr>
            <w:r w:rsidRPr="00E258AA">
              <w:rPr>
                <w:rFonts w:ascii="宋体" w:hAnsi="宋体" w:cs="宋体" w:hint="eastAsia"/>
                <w:color w:val="000000"/>
                <w:kern w:val="0"/>
                <w:sz w:val="24"/>
              </w:rPr>
              <w:t>55,000.00</w:t>
            </w:r>
          </w:p>
        </w:tc>
        <w:tc>
          <w:tcPr>
            <w:tcW w:w="1843" w:type="dxa"/>
            <w:tcBorders>
              <w:top w:val="nil"/>
              <w:left w:val="nil"/>
              <w:bottom w:val="single" w:sz="4" w:space="0" w:color="auto"/>
              <w:right w:val="single" w:sz="4" w:space="0" w:color="auto"/>
            </w:tcBorders>
            <w:vAlign w:val="center"/>
          </w:tcPr>
          <w:p w:rsidR="00E258AA" w:rsidRPr="00E258AA" w:rsidRDefault="00E258AA" w:rsidP="009A0A95">
            <w:pPr>
              <w:widowControl/>
              <w:jc w:val="right"/>
              <w:rPr>
                <w:rFonts w:ascii="宋体" w:hAnsi="宋体" w:cs="宋体"/>
                <w:color w:val="000000"/>
                <w:kern w:val="0"/>
                <w:sz w:val="24"/>
              </w:rPr>
            </w:pPr>
            <w:r w:rsidRPr="00E258AA">
              <w:rPr>
                <w:rFonts w:ascii="宋体" w:hAnsi="宋体" w:cs="宋体" w:hint="eastAsia"/>
                <w:color w:val="000000"/>
                <w:kern w:val="0"/>
                <w:sz w:val="24"/>
              </w:rPr>
              <w:t>57,000.00</w:t>
            </w:r>
          </w:p>
        </w:tc>
        <w:tc>
          <w:tcPr>
            <w:tcW w:w="2524" w:type="dxa"/>
            <w:tcBorders>
              <w:top w:val="nil"/>
              <w:left w:val="nil"/>
              <w:bottom w:val="single" w:sz="4" w:space="0" w:color="auto"/>
              <w:right w:val="single" w:sz="4" w:space="0" w:color="auto"/>
            </w:tcBorders>
            <w:vAlign w:val="center"/>
          </w:tcPr>
          <w:p w:rsidR="00E258AA" w:rsidRPr="00E258AA" w:rsidRDefault="00E258AA" w:rsidP="009A0A95">
            <w:pPr>
              <w:widowControl/>
              <w:jc w:val="center"/>
              <w:rPr>
                <w:rFonts w:ascii="宋体" w:hAnsi="宋体" w:cs="宋体"/>
                <w:color w:val="000000"/>
                <w:kern w:val="0"/>
                <w:sz w:val="24"/>
              </w:rPr>
            </w:pPr>
            <w:r w:rsidRPr="00E258AA">
              <w:rPr>
                <w:rFonts w:ascii="宋体" w:hAnsi="宋体" w:cs="宋体" w:hint="eastAsia"/>
                <w:color w:val="000000"/>
                <w:kern w:val="0"/>
                <w:sz w:val="24"/>
              </w:rPr>
              <w:t>预期定期存储</w:t>
            </w:r>
          </w:p>
          <w:p w:rsidR="00E258AA" w:rsidRPr="00E258AA" w:rsidRDefault="00E258AA" w:rsidP="009A0A95">
            <w:pPr>
              <w:widowControl/>
              <w:jc w:val="center"/>
              <w:rPr>
                <w:rFonts w:ascii="宋体" w:hAnsi="宋体" w:cs="宋体"/>
                <w:color w:val="000000"/>
                <w:kern w:val="0"/>
                <w:sz w:val="24"/>
              </w:rPr>
            </w:pPr>
            <w:r w:rsidRPr="00E258AA">
              <w:rPr>
                <w:rFonts w:ascii="宋体" w:hAnsi="宋体" w:cs="宋体" w:hint="eastAsia"/>
                <w:color w:val="000000"/>
                <w:kern w:val="0"/>
                <w:sz w:val="24"/>
              </w:rPr>
              <w:t>超额达成</w:t>
            </w:r>
          </w:p>
        </w:tc>
      </w:tr>
      <w:tr w:rsidR="00E258AA" w:rsidTr="009A0A95">
        <w:trPr>
          <w:trHeight w:val="695"/>
        </w:trPr>
        <w:tc>
          <w:tcPr>
            <w:tcW w:w="1686" w:type="dxa"/>
            <w:tcBorders>
              <w:top w:val="nil"/>
              <w:left w:val="single" w:sz="4" w:space="0" w:color="auto"/>
              <w:bottom w:val="single" w:sz="4" w:space="0" w:color="auto"/>
              <w:right w:val="single" w:sz="4" w:space="0" w:color="auto"/>
            </w:tcBorders>
            <w:vAlign w:val="center"/>
          </w:tcPr>
          <w:p w:rsidR="00E258AA" w:rsidRDefault="00E258AA" w:rsidP="009A0A95">
            <w:pPr>
              <w:widowControl/>
              <w:jc w:val="center"/>
              <w:rPr>
                <w:rFonts w:ascii="宋体" w:hAnsi="宋体" w:cs="宋体"/>
                <w:kern w:val="0"/>
                <w:sz w:val="24"/>
              </w:rPr>
            </w:pPr>
            <w:r>
              <w:rPr>
                <w:rFonts w:ascii="宋体" w:hAnsi="宋体" w:cs="宋体" w:hint="eastAsia"/>
                <w:kern w:val="0"/>
                <w:sz w:val="24"/>
              </w:rPr>
              <w:t>其  他</w:t>
            </w:r>
          </w:p>
        </w:tc>
        <w:tc>
          <w:tcPr>
            <w:tcW w:w="1701" w:type="dxa"/>
            <w:tcBorders>
              <w:top w:val="nil"/>
              <w:left w:val="nil"/>
              <w:bottom w:val="single" w:sz="4" w:space="0" w:color="auto"/>
              <w:right w:val="single" w:sz="4" w:space="0" w:color="auto"/>
            </w:tcBorders>
            <w:vAlign w:val="center"/>
          </w:tcPr>
          <w:p w:rsidR="00E258AA" w:rsidRDefault="00E258AA" w:rsidP="009A0A95">
            <w:pPr>
              <w:widowControl/>
              <w:jc w:val="left"/>
              <w:rPr>
                <w:rFonts w:ascii="宋体" w:hAnsi="宋体" w:cs="宋体"/>
                <w:color w:val="000000"/>
                <w:kern w:val="0"/>
                <w:sz w:val="24"/>
              </w:rPr>
            </w:pPr>
            <w:r>
              <w:rPr>
                <w:rFonts w:ascii="宋体" w:hAnsi="宋体" w:cs="宋体" w:hint="eastAsia"/>
                <w:color w:val="000000"/>
                <w:kern w:val="0"/>
                <w:sz w:val="24"/>
              </w:rPr>
              <w:t>黑龙江高速公路集团有限公司</w:t>
            </w:r>
          </w:p>
        </w:tc>
        <w:tc>
          <w:tcPr>
            <w:tcW w:w="1701" w:type="dxa"/>
            <w:tcBorders>
              <w:top w:val="nil"/>
              <w:left w:val="nil"/>
              <w:bottom w:val="single" w:sz="4" w:space="0" w:color="auto"/>
              <w:right w:val="single" w:sz="4" w:space="0" w:color="auto"/>
            </w:tcBorders>
            <w:vAlign w:val="center"/>
          </w:tcPr>
          <w:p w:rsidR="00E258AA" w:rsidRPr="00E258AA" w:rsidRDefault="00E258AA" w:rsidP="009A0A95">
            <w:pPr>
              <w:widowControl/>
              <w:jc w:val="right"/>
              <w:rPr>
                <w:rFonts w:ascii="宋体" w:hAnsi="宋体" w:cs="宋体"/>
                <w:color w:val="000000"/>
                <w:kern w:val="0"/>
                <w:sz w:val="24"/>
              </w:rPr>
            </w:pPr>
            <w:r w:rsidRPr="00E258AA">
              <w:rPr>
                <w:rFonts w:ascii="宋体" w:hAnsi="宋体" w:cs="宋体" w:hint="eastAsia"/>
                <w:color w:val="000000"/>
                <w:kern w:val="0"/>
                <w:sz w:val="24"/>
              </w:rPr>
              <w:t>50.00</w:t>
            </w:r>
          </w:p>
        </w:tc>
        <w:tc>
          <w:tcPr>
            <w:tcW w:w="1843" w:type="dxa"/>
            <w:tcBorders>
              <w:top w:val="nil"/>
              <w:left w:val="nil"/>
              <w:bottom w:val="single" w:sz="4" w:space="0" w:color="auto"/>
              <w:right w:val="single" w:sz="4" w:space="0" w:color="auto"/>
            </w:tcBorders>
            <w:vAlign w:val="center"/>
          </w:tcPr>
          <w:p w:rsidR="00E258AA" w:rsidRPr="00E258AA" w:rsidRDefault="00E258AA" w:rsidP="009A0A95">
            <w:pPr>
              <w:widowControl/>
              <w:jc w:val="right"/>
              <w:rPr>
                <w:rFonts w:ascii="宋体" w:hAnsi="宋体" w:cs="宋体"/>
                <w:color w:val="000000"/>
                <w:kern w:val="0"/>
                <w:sz w:val="24"/>
              </w:rPr>
            </w:pPr>
            <w:r w:rsidRPr="00E258AA">
              <w:rPr>
                <w:rFonts w:ascii="宋体" w:hAnsi="宋体" w:cs="宋体" w:hint="eastAsia"/>
                <w:color w:val="000000"/>
                <w:kern w:val="0"/>
                <w:sz w:val="24"/>
              </w:rPr>
              <w:t>50.00</w:t>
            </w:r>
          </w:p>
        </w:tc>
        <w:tc>
          <w:tcPr>
            <w:tcW w:w="2524" w:type="dxa"/>
            <w:tcBorders>
              <w:top w:val="nil"/>
              <w:left w:val="nil"/>
              <w:bottom w:val="single" w:sz="4" w:space="0" w:color="auto"/>
              <w:right w:val="single" w:sz="4" w:space="0" w:color="auto"/>
            </w:tcBorders>
            <w:vAlign w:val="center"/>
          </w:tcPr>
          <w:p w:rsidR="00E258AA" w:rsidRPr="00E258AA" w:rsidRDefault="00E258AA" w:rsidP="009A0A95">
            <w:pPr>
              <w:widowControl/>
              <w:jc w:val="center"/>
              <w:rPr>
                <w:rFonts w:ascii="宋体" w:hAnsi="宋体" w:cs="宋体"/>
                <w:color w:val="000000"/>
                <w:kern w:val="0"/>
                <w:sz w:val="24"/>
              </w:rPr>
            </w:pPr>
            <w:r>
              <w:rPr>
                <w:rFonts w:ascii="宋体" w:hAnsi="宋体" w:cs="宋体" w:hint="eastAsia"/>
                <w:color w:val="000000"/>
                <w:kern w:val="0"/>
                <w:sz w:val="24"/>
              </w:rPr>
              <w:t>——</w:t>
            </w:r>
          </w:p>
        </w:tc>
      </w:tr>
      <w:tr w:rsidR="00E258AA" w:rsidTr="009A0A95">
        <w:trPr>
          <w:trHeight w:val="489"/>
        </w:trPr>
        <w:tc>
          <w:tcPr>
            <w:tcW w:w="1686" w:type="dxa"/>
            <w:tcBorders>
              <w:top w:val="nil"/>
              <w:left w:val="single" w:sz="4" w:space="0" w:color="auto"/>
              <w:bottom w:val="single" w:sz="4" w:space="0" w:color="auto"/>
              <w:right w:val="single" w:sz="4" w:space="0" w:color="auto"/>
            </w:tcBorders>
            <w:vAlign w:val="center"/>
          </w:tcPr>
          <w:p w:rsidR="00E258AA" w:rsidRDefault="00E258AA" w:rsidP="009A0A95">
            <w:pPr>
              <w:widowControl/>
              <w:jc w:val="center"/>
              <w:rPr>
                <w:rFonts w:ascii="宋体" w:hAnsi="宋体" w:cs="宋体"/>
                <w:kern w:val="0"/>
                <w:sz w:val="24"/>
              </w:rPr>
            </w:pPr>
            <w:r>
              <w:rPr>
                <w:rFonts w:ascii="宋体" w:hAnsi="宋体" w:cs="宋体" w:hint="eastAsia"/>
                <w:kern w:val="0"/>
                <w:sz w:val="24"/>
              </w:rPr>
              <w:t>合  计</w:t>
            </w:r>
          </w:p>
        </w:tc>
        <w:tc>
          <w:tcPr>
            <w:tcW w:w="1701" w:type="dxa"/>
            <w:tcBorders>
              <w:top w:val="nil"/>
              <w:left w:val="nil"/>
              <w:bottom w:val="single" w:sz="4" w:space="0" w:color="auto"/>
              <w:right w:val="single" w:sz="4" w:space="0" w:color="auto"/>
            </w:tcBorders>
            <w:vAlign w:val="center"/>
          </w:tcPr>
          <w:p w:rsidR="00E258AA" w:rsidRDefault="00E258AA" w:rsidP="009A0A95">
            <w:pPr>
              <w:widowControl/>
              <w:jc w:val="center"/>
              <w:rPr>
                <w:rFonts w:ascii="宋体" w:hAnsi="宋体" w:cs="宋体"/>
                <w:kern w:val="0"/>
                <w:sz w:val="24"/>
              </w:rPr>
            </w:pPr>
            <w:r>
              <w:rPr>
                <w:rFonts w:ascii="宋体" w:hAnsi="宋体" w:cs="宋体" w:hint="eastAsia"/>
                <w:kern w:val="0"/>
                <w:sz w:val="24"/>
              </w:rPr>
              <w:t>-</w:t>
            </w:r>
          </w:p>
        </w:tc>
        <w:tc>
          <w:tcPr>
            <w:tcW w:w="1701" w:type="dxa"/>
            <w:tcBorders>
              <w:top w:val="nil"/>
              <w:left w:val="nil"/>
              <w:bottom w:val="single" w:sz="4" w:space="0" w:color="auto"/>
              <w:right w:val="single" w:sz="4" w:space="0" w:color="auto"/>
            </w:tcBorders>
            <w:vAlign w:val="center"/>
          </w:tcPr>
          <w:p w:rsidR="00E258AA" w:rsidRPr="00E258AA" w:rsidRDefault="00E258AA" w:rsidP="009A0A95">
            <w:pPr>
              <w:widowControl/>
              <w:jc w:val="right"/>
              <w:textAlignment w:val="center"/>
              <w:rPr>
                <w:rFonts w:ascii="宋体" w:hAnsi="宋体" w:cs="宋体"/>
                <w:color w:val="000000"/>
                <w:kern w:val="0"/>
                <w:sz w:val="24"/>
              </w:rPr>
            </w:pPr>
            <w:r w:rsidRPr="00E258AA">
              <w:rPr>
                <w:rFonts w:ascii="宋体" w:hAnsi="宋体" w:cs="宋体" w:hint="eastAsia"/>
                <w:color w:val="000000"/>
                <w:kern w:val="0"/>
                <w:sz w:val="24"/>
              </w:rPr>
              <w:t>55,050.00</w:t>
            </w:r>
          </w:p>
        </w:tc>
        <w:tc>
          <w:tcPr>
            <w:tcW w:w="1843" w:type="dxa"/>
            <w:tcBorders>
              <w:top w:val="nil"/>
              <w:left w:val="nil"/>
              <w:bottom w:val="single" w:sz="4" w:space="0" w:color="auto"/>
              <w:right w:val="single" w:sz="4" w:space="0" w:color="auto"/>
            </w:tcBorders>
            <w:vAlign w:val="center"/>
          </w:tcPr>
          <w:p w:rsidR="00E258AA" w:rsidRPr="00E258AA" w:rsidRDefault="00E258AA" w:rsidP="009A0A95">
            <w:pPr>
              <w:widowControl/>
              <w:jc w:val="right"/>
              <w:textAlignment w:val="center"/>
              <w:rPr>
                <w:rFonts w:ascii="宋体" w:hAnsi="宋体" w:cs="宋体"/>
                <w:color w:val="000000"/>
                <w:kern w:val="0"/>
                <w:sz w:val="24"/>
              </w:rPr>
            </w:pPr>
            <w:r w:rsidRPr="00E258AA">
              <w:rPr>
                <w:rFonts w:ascii="宋体" w:hAnsi="宋体" w:cs="宋体" w:hint="eastAsia"/>
                <w:color w:val="000000"/>
                <w:kern w:val="0"/>
                <w:sz w:val="24"/>
              </w:rPr>
              <w:t>57,050.00</w:t>
            </w:r>
          </w:p>
        </w:tc>
        <w:tc>
          <w:tcPr>
            <w:tcW w:w="2524" w:type="dxa"/>
            <w:tcBorders>
              <w:top w:val="nil"/>
              <w:left w:val="nil"/>
              <w:bottom w:val="single" w:sz="4" w:space="0" w:color="auto"/>
              <w:right w:val="single" w:sz="4" w:space="0" w:color="auto"/>
            </w:tcBorders>
            <w:vAlign w:val="center"/>
          </w:tcPr>
          <w:p w:rsidR="00E258AA" w:rsidRPr="00E258AA" w:rsidRDefault="00E258AA" w:rsidP="009A0A95">
            <w:pPr>
              <w:widowControl/>
              <w:jc w:val="center"/>
              <w:rPr>
                <w:rFonts w:ascii="宋体" w:hAnsi="宋体" w:cs="宋体"/>
                <w:color w:val="000000"/>
                <w:kern w:val="0"/>
                <w:sz w:val="24"/>
              </w:rPr>
            </w:pPr>
            <w:r>
              <w:rPr>
                <w:rFonts w:ascii="宋体" w:hAnsi="宋体" w:cs="宋体" w:hint="eastAsia"/>
                <w:color w:val="000000"/>
                <w:kern w:val="0"/>
                <w:sz w:val="24"/>
              </w:rPr>
              <w:t>——</w:t>
            </w:r>
          </w:p>
        </w:tc>
      </w:tr>
    </w:tbl>
    <w:p w:rsidR="00C54EBF" w:rsidRDefault="00C54EBF" w:rsidP="00C54EBF">
      <w:pPr>
        <w:adjustRightInd w:val="0"/>
        <w:spacing w:before="240" w:line="360" w:lineRule="auto"/>
        <w:ind w:firstLineChars="200" w:firstLine="480"/>
        <w:jc w:val="left"/>
        <w:rPr>
          <w:rFonts w:ascii="宋体" w:hAnsi="宋体"/>
          <w:bCs/>
          <w:sz w:val="24"/>
        </w:rPr>
      </w:pPr>
      <w:r>
        <w:rPr>
          <w:rFonts w:ascii="宋体" w:hAnsi="宋体" w:hint="eastAsia"/>
          <w:bCs/>
          <w:sz w:val="24"/>
        </w:rPr>
        <w:t>（三）202</w:t>
      </w:r>
      <w:r w:rsidR="00E258AA">
        <w:rPr>
          <w:rFonts w:ascii="宋体" w:hAnsi="宋体" w:hint="eastAsia"/>
          <w:bCs/>
          <w:sz w:val="24"/>
        </w:rPr>
        <w:t>1</w:t>
      </w:r>
      <w:r>
        <w:rPr>
          <w:rFonts w:ascii="宋体" w:hAnsi="宋体" w:hint="eastAsia"/>
          <w:bCs/>
          <w:sz w:val="24"/>
        </w:rPr>
        <w:t>日常关联交易预计金额和类别</w:t>
      </w:r>
    </w:p>
    <w:p w:rsidR="00C54EBF" w:rsidRDefault="00C54EBF" w:rsidP="00C54EBF">
      <w:pPr>
        <w:adjustRightInd w:val="0"/>
        <w:spacing w:line="360" w:lineRule="auto"/>
        <w:ind w:firstLineChars="2500" w:firstLine="6000"/>
        <w:jc w:val="left"/>
        <w:rPr>
          <w:rFonts w:ascii="宋体" w:hAnsi="宋体"/>
          <w:sz w:val="24"/>
        </w:rPr>
      </w:pPr>
      <w:r>
        <w:rPr>
          <w:rFonts w:ascii="宋体" w:hAnsi="宋体" w:hint="eastAsia"/>
          <w:sz w:val="24"/>
        </w:rPr>
        <w:t>单位：万元  币种：人民币</w:t>
      </w:r>
    </w:p>
    <w:tbl>
      <w:tblPr>
        <w:tblW w:w="10631"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1442"/>
        <w:gridCol w:w="1297"/>
        <w:gridCol w:w="827"/>
        <w:gridCol w:w="1748"/>
        <w:gridCol w:w="1362"/>
        <w:gridCol w:w="1069"/>
        <w:gridCol w:w="1591"/>
      </w:tblGrid>
      <w:tr w:rsidR="00C54EBF" w:rsidTr="00E258AA">
        <w:trPr>
          <w:trHeight w:val="1422"/>
          <w:jc w:val="center"/>
        </w:trPr>
        <w:tc>
          <w:tcPr>
            <w:tcW w:w="1295" w:type="dxa"/>
            <w:shd w:val="clear" w:color="auto" w:fill="FFFFFF"/>
            <w:vAlign w:val="center"/>
          </w:tcPr>
          <w:p w:rsidR="00C54EBF" w:rsidRDefault="00C54EBF" w:rsidP="009A0A95">
            <w:pPr>
              <w:widowControl/>
              <w:jc w:val="center"/>
              <w:rPr>
                <w:rFonts w:ascii="宋体" w:hAnsi="宋体" w:cs="宋体"/>
                <w:bCs/>
                <w:kern w:val="0"/>
                <w:sz w:val="24"/>
              </w:rPr>
            </w:pPr>
            <w:r>
              <w:rPr>
                <w:rFonts w:ascii="宋体" w:hAnsi="宋体" w:cs="宋体" w:hint="eastAsia"/>
                <w:bCs/>
                <w:kern w:val="0"/>
                <w:sz w:val="24"/>
              </w:rPr>
              <w:t>关联交易类别</w:t>
            </w:r>
          </w:p>
        </w:tc>
        <w:tc>
          <w:tcPr>
            <w:tcW w:w="1442" w:type="dxa"/>
            <w:shd w:val="clear" w:color="auto" w:fill="FFFFFF"/>
            <w:vAlign w:val="center"/>
          </w:tcPr>
          <w:p w:rsidR="00C54EBF" w:rsidRDefault="00C54EBF" w:rsidP="009A0A95">
            <w:pPr>
              <w:widowControl/>
              <w:jc w:val="center"/>
              <w:rPr>
                <w:rFonts w:ascii="宋体" w:hAnsi="宋体" w:cs="宋体"/>
                <w:bCs/>
                <w:kern w:val="0"/>
                <w:sz w:val="24"/>
              </w:rPr>
            </w:pPr>
            <w:r>
              <w:rPr>
                <w:rFonts w:ascii="宋体" w:hAnsi="宋体" w:cs="宋体" w:hint="eastAsia"/>
                <w:bCs/>
                <w:kern w:val="0"/>
                <w:sz w:val="24"/>
              </w:rPr>
              <w:t>关联人</w:t>
            </w:r>
          </w:p>
        </w:tc>
        <w:tc>
          <w:tcPr>
            <w:tcW w:w="1297" w:type="dxa"/>
            <w:shd w:val="clear" w:color="auto" w:fill="FFFFFF"/>
            <w:vAlign w:val="center"/>
          </w:tcPr>
          <w:p w:rsidR="00C54EBF" w:rsidRDefault="00C54EBF" w:rsidP="009A0A95">
            <w:pPr>
              <w:widowControl/>
              <w:jc w:val="center"/>
              <w:rPr>
                <w:rFonts w:ascii="宋体" w:hAnsi="宋体" w:cs="宋体"/>
                <w:bCs/>
                <w:kern w:val="0"/>
                <w:sz w:val="24"/>
              </w:rPr>
            </w:pPr>
            <w:r>
              <w:rPr>
                <w:rFonts w:ascii="宋体" w:hAnsi="宋体" w:cs="宋体" w:hint="eastAsia"/>
                <w:bCs/>
                <w:kern w:val="0"/>
                <w:sz w:val="24"/>
              </w:rPr>
              <w:t>本次预计</w:t>
            </w:r>
          </w:p>
          <w:p w:rsidR="00C54EBF" w:rsidRDefault="00C54EBF" w:rsidP="009A0A95">
            <w:pPr>
              <w:widowControl/>
              <w:jc w:val="center"/>
              <w:rPr>
                <w:rFonts w:ascii="宋体" w:hAnsi="宋体" w:cs="宋体"/>
                <w:bCs/>
                <w:kern w:val="0"/>
                <w:sz w:val="24"/>
              </w:rPr>
            </w:pPr>
            <w:r>
              <w:rPr>
                <w:rFonts w:ascii="宋体" w:hAnsi="宋体" w:cs="宋体" w:hint="eastAsia"/>
                <w:bCs/>
                <w:kern w:val="0"/>
                <w:sz w:val="24"/>
              </w:rPr>
              <w:t>金额</w:t>
            </w:r>
          </w:p>
        </w:tc>
        <w:tc>
          <w:tcPr>
            <w:tcW w:w="827" w:type="dxa"/>
            <w:shd w:val="clear" w:color="auto" w:fill="FFFFFF"/>
            <w:vAlign w:val="center"/>
          </w:tcPr>
          <w:p w:rsidR="00C54EBF" w:rsidRDefault="00C54EBF" w:rsidP="009A0A95">
            <w:pPr>
              <w:widowControl/>
              <w:jc w:val="center"/>
              <w:rPr>
                <w:rFonts w:ascii="宋体" w:hAnsi="宋体" w:cs="宋体"/>
                <w:bCs/>
                <w:kern w:val="0"/>
                <w:sz w:val="24"/>
              </w:rPr>
            </w:pPr>
            <w:r>
              <w:rPr>
                <w:rFonts w:ascii="宋体" w:hAnsi="宋体" w:cs="宋体" w:hint="eastAsia"/>
                <w:bCs/>
                <w:kern w:val="0"/>
                <w:sz w:val="24"/>
              </w:rPr>
              <w:t>占同类业务比例（%）</w:t>
            </w:r>
          </w:p>
        </w:tc>
        <w:tc>
          <w:tcPr>
            <w:tcW w:w="1748" w:type="dxa"/>
            <w:shd w:val="clear" w:color="auto" w:fill="FFFFFF"/>
            <w:vAlign w:val="center"/>
          </w:tcPr>
          <w:p w:rsidR="00C54EBF" w:rsidRDefault="00C54EBF" w:rsidP="009A0A95">
            <w:pPr>
              <w:widowControl/>
              <w:jc w:val="center"/>
              <w:rPr>
                <w:rFonts w:ascii="宋体" w:hAnsi="宋体" w:cs="宋体"/>
                <w:bCs/>
                <w:kern w:val="0"/>
                <w:sz w:val="24"/>
              </w:rPr>
            </w:pPr>
            <w:r>
              <w:rPr>
                <w:rFonts w:ascii="宋体" w:hAnsi="宋体" w:cs="宋体" w:hint="eastAsia"/>
                <w:bCs/>
                <w:kern w:val="0"/>
                <w:sz w:val="24"/>
              </w:rPr>
              <w:t>本年年初至披露日与关联人累计已发生的交易金额</w:t>
            </w:r>
          </w:p>
        </w:tc>
        <w:tc>
          <w:tcPr>
            <w:tcW w:w="1362" w:type="dxa"/>
            <w:shd w:val="clear" w:color="auto" w:fill="FFFFFF"/>
            <w:vAlign w:val="center"/>
          </w:tcPr>
          <w:p w:rsidR="00C54EBF" w:rsidRDefault="00C54EBF" w:rsidP="009A0A95">
            <w:pPr>
              <w:widowControl/>
              <w:jc w:val="center"/>
              <w:rPr>
                <w:rFonts w:ascii="宋体" w:hAnsi="宋体" w:cs="宋体"/>
                <w:bCs/>
                <w:kern w:val="0"/>
                <w:sz w:val="24"/>
              </w:rPr>
            </w:pPr>
            <w:r>
              <w:rPr>
                <w:rFonts w:ascii="宋体" w:hAnsi="宋体" w:cs="宋体" w:hint="eastAsia"/>
                <w:bCs/>
                <w:kern w:val="0"/>
                <w:sz w:val="24"/>
              </w:rPr>
              <w:t>上年实际发生金额</w:t>
            </w:r>
          </w:p>
        </w:tc>
        <w:tc>
          <w:tcPr>
            <w:tcW w:w="1069" w:type="dxa"/>
            <w:shd w:val="clear" w:color="auto" w:fill="FFFFFF"/>
            <w:vAlign w:val="center"/>
          </w:tcPr>
          <w:p w:rsidR="00C54EBF" w:rsidRDefault="00C54EBF" w:rsidP="009A0A95">
            <w:pPr>
              <w:widowControl/>
              <w:rPr>
                <w:rFonts w:ascii="宋体" w:hAnsi="宋体" w:cs="宋体"/>
                <w:bCs/>
                <w:kern w:val="0"/>
                <w:sz w:val="24"/>
              </w:rPr>
            </w:pPr>
            <w:r>
              <w:rPr>
                <w:rFonts w:ascii="宋体" w:hAnsi="宋体" w:cs="宋体" w:hint="eastAsia"/>
                <w:bCs/>
                <w:kern w:val="0"/>
                <w:sz w:val="24"/>
              </w:rPr>
              <w:t>占同类业务比例（％）</w:t>
            </w:r>
          </w:p>
        </w:tc>
        <w:tc>
          <w:tcPr>
            <w:tcW w:w="1591" w:type="dxa"/>
            <w:shd w:val="clear" w:color="auto" w:fill="FFFFFF"/>
            <w:vAlign w:val="center"/>
          </w:tcPr>
          <w:p w:rsidR="00C54EBF" w:rsidRDefault="00C54EBF" w:rsidP="009A0A95">
            <w:pPr>
              <w:widowControl/>
              <w:jc w:val="center"/>
              <w:rPr>
                <w:rFonts w:ascii="宋体" w:hAnsi="宋体" w:cs="宋体"/>
                <w:bCs/>
                <w:kern w:val="0"/>
                <w:sz w:val="24"/>
              </w:rPr>
            </w:pPr>
            <w:r>
              <w:rPr>
                <w:rFonts w:ascii="宋体" w:hAnsi="宋体" w:cs="宋体" w:hint="eastAsia"/>
                <w:bCs/>
                <w:kern w:val="0"/>
                <w:sz w:val="24"/>
              </w:rPr>
              <w:t>本次预计金额与上年实际发生金额差异较大的原因</w:t>
            </w:r>
          </w:p>
        </w:tc>
      </w:tr>
      <w:tr w:rsidR="00E258AA" w:rsidTr="006F1C8F">
        <w:trPr>
          <w:trHeight w:val="1118"/>
          <w:jc w:val="center"/>
        </w:trPr>
        <w:tc>
          <w:tcPr>
            <w:tcW w:w="1295" w:type="dxa"/>
            <w:vAlign w:val="center"/>
          </w:tcPr>
          <w:p w:rsidR="00E258AA" w:rsidRDefault="00E258AA" w:rsidP="009A0A95">
            <w:pPr>
              <w:widowControl/>
              <w:jc w:val="left"/>
              <w:rPr>
                <w:rFonts w:ascii="宋体" w:hAnsi="宋体" w:cs="宋体"/>
                <w:kern w:val="0"/>
                <w:sz w:val="24"/>
              </w:rPr>
            </w:pPr>
            <w:r>
              <w:rPr>
                <w:rFonts w:ascii="宋体" w:hAnsi="宋体" w:cs="宋体" w:hint="eastAsia"/>
                <w:kern w:val="0"/>
                <w:sz w:val="24"/>
              </w:rPr>
              <w:t>在关联人的财务公司存款</w:t>
            </w:r>
          </w:p>
        </w:tc>
        <w:tc>
          <w:tcPr>
            <w:tcW w:w="1442" w:type="dxa"/>
            <w:vAlign w:val="center"/>
          </w:tcPr>
          <w:p w:rsidR="00E258AA" w:rsidRDefault="00E258AA" w:rsidP="009A0A95">
            <w:pPr>
              <w:widowControl/>
              <w:jc w:val="center"/>
              <w:rPr>
                <w:rFonts w:ascii="宋体" w:hAnsi="宋体" w:cs="宋体"/>
                <w:kern w:val="0"/>
                <w:sz w:val="24"/>
              </w:rPr>
            </w:pPr>
            <w:r>
              <w:rPr>
                <w:rFonts w:ascii="宋体" w:hAnsi="宋体" w:cs="宋体" w:hint="eastAsia"/>
                <w:color w:val="000000"/>
                <w:kern w:val="0"/>
                <w:sz w:val="24"/>
              </w:rPr>
              <w:t>龙江银行股份有限公司</w:t>
            </w:r>
          </w:p>
        </w:tc>
        <w:tc>
          <w:tcPr>
            <w:tcW w:w="1297"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57,200.00</w:t>
            </w:r>
          </w:p>
        </w:tc>
        <w:tc>
          <w:tcPr>
            <w:tcW w:w="827"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46.12</w:t>
            </w:r>
          </w:p>
        </w:tc>
        <w:tc>
          <w:tcPr>
            <w:tcW w:w="1748" w:type="dxa"/>
            <w:vAlign w:val="center"/>
          </w:tcPr>
          <w:p w:rsidR="00E258AA" w:rsidRPr="00E258AA" w:rsidRDefault="00E258AA" w:rsidP="006F1C8F">
            <w:pPr>
              <w:jc w:val="right"/>
              <w:rPr>
                <w:rFonts w:ascii="宋体" w:hAnsi="宋体" w:cs="宋体"/>
                <w:color w:val="000000"/>
                <w:kern w:val="0"/>
                <w:sz w:val="24"/>
              </w:rPr>
            </w:pPr>
            <w:r w:rsidRPr="00E258AA">
              <w:rPr>
                <w:rFonts w:ascii="宋体" w:hAnsi="宋体" w:cs="宋体" w:hint="eastAsia"/>
                <w:color w:val="000000"/>
                <w:kern w:val="0"/>
                <w:sz w:val="24"/>
              </w:rPr>
              <w:t>57,000.00</w:t>
            </w:r>
          </w:p>
        </w:tc>
        <w:tc>
          <w:tcPr>
            <w:tcW w:w="1362"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57,000.00</w:t>
            </w:r>
          </w:p>
        </w:tc>
        <w:tc>
          <w:tcPr>
            <w:tcW w:w="1069"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46.16</w:t>
            </w:r>
          </w:p>
        </w:tc>
        <w:tc>
          <w:tcPr>
            <w:tcW w:w="1591" w:type="dxa"/>
            <w:vAlign w:val="center"/>
          </w:tcPr>
          <w:p w:rsidR="00E258AA" w:rsidRPr="00E258AA" w:rsidRDefault="00E258AA" w:rsidP="00E258AA">
            <w:pPr>
              <w:widowControl/>
              <w:jc w:val="left"/>
              <w:rPr>
                <w:rFonts w:ascii="宋体" w:hAnsi="宋体" w:cs="宋体"/>
                <w:color w:val="000000"/>
                <w:kern w:val="0"/>
                <w:sz w:val="24"/>
              </w:rPr>
            </w:pPr>
            <w:r w:rsidRPr="00E258AA">
              <w:rPr>
                <w:rFonts w:ascii="宋体" w:hAnsi="宋体" w:cs="宋体" w:hint="eastAsia"/>
                <w:color w:val="000000"/>
                <w:kern w:val="0"/>
                <w:sz w:val="24"/>
              </w:rPr>
              <w:t>定期存储预期</w:t>
            </w:r>
          </w:p>
        </w:tc>
      </w:tr>
      <w:tr w:rsidR="00E258AA" w:rsidTr="006F1C8F">
        <w:trPr>
          <w:trHeight w:val="285"/>
          <w:jc w:val="center"/>
        </w:trPr>
        <w:tc>
          <w:tcPr>
            <w:tcW w:w="1295" w:type="dxa"/>
            <w:vAlign w:val="center"/>
          </w:tcPr>
          <w:p w:rsidR="00E258AA" w:rsidRDefault="00E258AA" w:rsidP="009A0A95">
            <w:pPr>
              <w:widowControl/>
              <w:jc w:val="center"/>
              <w:rPr>
                <w:rFonts w:ascii="宋体" w:hAnsi="宋体" w:cs="宋体"/>
                <w:kern w:val="0"/>
                <w:sz w:val="24"/>
              </w:rPr>
            </w:pPr>
            <w:r>
              <w:rPr>
                <w:rFonts w:ascii="宋体" w:hAnsi="宋体" w:cs="宋体" w:hint="eastAsia"/>
                <w:kern w:val="0"/>
                <w:sz w:val="24"/>
              </w:rPr>
              <w:t>其  他</w:t>
            </w:r>
          </w:p>
        </w:tc>
        <w:tc>
          <w:tcPr>
            <w:tcW w:w="1442" w:type="dxa"/>
            <w:vAlign w:val="center"/>
          </w:tcPr>
          <w:p w:rsidR="00E258AA" w:rsidRDefault="00E258AA" w:rsidP="009A0A95">
            <w:pPr>
              <w:widowControl/>
              <w:jc w:val="center"/>
              <w:rPr>
                <w:rFonts w:ascii="宋体" w:hAnsi="宋体" w:cs="宋体"/>
                <w:kern w:val="0"/>
                <w:sz w:val="24"/>
              </w:rPr>
            </w:pPr>
            <w:r>
              <w:rPr>
                <w:rFonts w:ascii="宋体" w:hAnsi="宋体" w:cs="宋体" w:hint="eastAsia"/>
                <w:color w:val="000000"/>
                <w:kern w:val="0"/>
                <w:sz w:val="24"/>
              </w:rPr>
              <w:t>黑龙江高速公路集团有限公司</w:t>
            </w:r>
          </w:p>
        </w:tc>
        <w:tc>
          <w:tcPr>
            <w:tcW w:w="1297"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50.00</w:t>
            </w:r>
          </w:p>
        </w:tc>
        <w:tc>
          <w:tcPr>
            <w:tcW w:w="827"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100</w:t>
            </w:r>
          </w:p>
        </w:tc>
        <w:tc>
          <w:tcPr>
            <w:tcW w:w="1748"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50.0</w:t>
            </w:r>
            <w:bookmarkStart w:id="0" w:name="_GoBack"/>
            <w:bookmarkEnd w:id="0"/>
            <w:r w:rsidRPr="00E258AA">
              <w:rPr>
                <w:rFonts w:ascii="宋体" w:hAnsi="宋体" w:cs="宋体" w:hint="eastAsia"/>
                <w:color w:val="000000"/>
                <w:kern w:val="0"/>
                <w:sz w:val="24"/>
              </w:rPr>
              <w:t>0</w:t>
            </w:r>
          </w:p>
        </w:tc>
        <w:tc>
          <w:tcPr>
            <w:tcW w:w="1362"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50.00</w:t>
            </w:r>
          </w:p>
        </w:tc>
        <w:tc>
          <w:tcPr>
            <w:tcW w:w="1069"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100</w:t>
            </w:r>
          </w:p>
        </w:tc>
        <w:tc>
          <w:tcPr>
            <w:tcW w:w="1591" w:type="dxa"/>
            <w:vAlign w:val="center"/>
          </w:tcPr>
          <w:p w:rsidR="00E258AA" w:rsidRPr="00E258AA" w:rsidRDefault="00E258AA" w:rsidP="00E258AA">
            <w:pPr>
              <w:widowControl/>
              <w:jc w:val="center"/>
              <w:rPr>
                <w:rFonts w:ascii="宋体" w:hAnsi="宋体" w:cs="宋体"/>
                <w:color w:val="000000"/>
                <w:kern w:val="0"/>
                <w:sz w:val="24"/>
              </w:rPr>
            </w:pPr>
            <w:r>
              <w:rPr>
                <w:rFonts w:ascii="宋体" w:hAnsi="宋体" w:cs="宋体" w:hint="eastAsia"/>
                <w:color w:val="000000"/>
                <w:kern w:val="0"/>
                <w:sz w:val="24"/>
              </w:rPr>
              <w:t>——</w:t>
            </w:r>
          </w:p>
        </w:tc>
      </w:tr>
      <w:tr w:rsidR="00E258AA" w:rsidTr="006F1C8F">
        <w:trPr>
          <w:trHeight w:val="612"/>
          <w:jc w:val="center"/>
        </w:trPr>
        <w:tc>
          <w:tcPr>
            <w:tcW w:w="1295" w:type="dxa"/>
            <w:vAlign w:val="center"/>
          </w:tcPr>
          <w:p w:rsidR="00E258AA" w:rsidRDefault="00E258AA" w:rsidP="009A0A95">
            <w:pPr>
              <w:widowControl/>
              <w:jc w:val="center"/>
              <w:rPr>
                <w:rFonts w:ascii="宋体" w:hAnsi="宋体" w:cs="宋体"/>
                <w:kern w:val="0"/>
                <w:sz w:val="24"/>
              </w:rPr>
            </w:pPr>
            <w:r>
              <w:rPr>
                <w:rFonts w:ascii="宋体" w:hAnsi="宋体" w:cs="宋体" w:hint="eastAsia"/>
                <w:kern w:val="0"/>
                <w:sz w:val="24"/>
              </w:rPr>
              <w:t>合  计</w:t>
            </w:r>
          </w:p>
        </w:tc>
        <w:tc>
          <w:tcPr>
            <w:tcW w:w="1442" w:type="dxa"/>
            <w:vAlign w:val="center"/>
          </w:tcPr>
          <w:p w:rsidR="00E258AA" w:rsidRDefault="00E258AA" w:rsidP="009A0A95">
            <w:pPr>
              <w:widowControl/>
              <w:jc w:val="center"/>
              <w:rPr>
                <w:rFonts w:ascii="宋体" w:hAnsi="宋体" w:cs="宋体"/>
                <w:kern w:val="0"/>
                <w:sz w:val="24"/>
              </w:rPr>
            </w:pPr>
            <w:r>
              <w:rPr>
                <w:rFonts w:ascii="宋体" w:hAnsi="宋体" w:cs="宋体" w:hint="eastAsia"/>
                <w:kern w:val="0"/>
                <w:sz w:val="24"/>
              </w:rPr>
              <w:t>-</w:t>
            </w:r>
          </w:p>
        </w:tc>
        <w:tc>
          <w:tcPr>
            <w:tcW w:w="1297"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57,250.00</w:t>
            </w:r>
          </w:p>
        </w:tc>
        <w:tc>
          <w:tcPr>
            <w:tcW w:w="827" w:type="dxa"/>
            <w:vAlign w:val="center"/>
          </w:tcPr>
          <w:p w:rsidR="00E258AA" w:rsidRPr="00E258AA" w:rsidRDefault="00E258AA" w:rsidP="006F1C8F">
            <w:pPr>
              <w:widowControl/>
              <w:jc w:val="right"/>
              <w:rPr>
                <w:rFonts w:ascii="宋体" w:hAnsi="宋体" w:cs="宋体"/>
                <w:color w:val="000000"/>
                <w:kern w:val="0"/>
                <w:sz w:val="24"/>
              </w:rPr>
            </w:pPr>
          </w:p>
        </w:tc>
        <w:tc>
          <w:tcPr>
            <w:tcW w:w="1748"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57,050.00</w:t>
            </w:r>
          </w:p>
        </w:tc>
        <w:tc>
          <w:tcPr>
            <w:tcW w:w="1362" w:type="dxa"/>
            <w:vAlign w:val="center"/>
          </w:tcPr>
          <w:p w:rsidR="00E258AA" w:rsidRPr="00E258AA" w:rsidRDefault="00E258AA" w:rsidP="006F1C8F">
            <w:pPr>
              <w:widowControl/>
              <w:jc w:val="right"/>
              <w:rPr>
                <w:rFonts w:ascii="宋体" w:hAnsi="宋体" w:cs="宋体"/>
                <w:color w:val="000000"/>
                <w:kern w:val="0"/>
                <w:sz w:val="24"/>
              </w:rPr>
            </w:pPr>
            <w:r w:rsidRPr="00E258AA">
              <w:rPr>
                <w:rFonts w:ascii="宋体" w:hAnsi="宋体" w:cs="宋体" w:hint="eastAsia"/>
                <w:color w:val="000000"/>
                <w:kern w:val="0"/>
                <w:sz w:val="24"/>
              </w:rPr>
              <w:t>57,050.00</w:t>
            </w:r>
          </w:p>
        </w:tc>
        <w:tc>
          <w:tcPr>
            <w:tcW w:w="1069" w:type="dxa"/>
            <w:vAlign w:val="center"/>
          </w:tcPr>
          <w:p w:rsidR="00E258AA" w:rsidRPr="00E258AA" w:rsidRDefault="00E258AA" w:rsidP="006F1C8F">
            <w:pPr>
              <w:widowControl/>
              <w:jc w:val="right"/>
              <w:rPr>
                <w:rFonts w:ascii="宋体" w:hAnsi="宋体" w:cs="宋体"/>
                <w:color w:val="000000"/>
                <w:kern w:val="0"/>
                <w:sz w:val="24"/>
              </w:rPr>
            </w:pPr>
          </w:p>
        </w:tc>
        <w:tc>
          <w:tcPr>
            <w:tcW w:w="1591" w:type="dxa"/>
            <w:vAlign w:val="center"/>
          </w:tcPr>
          <w:p w:rsidR="00E258AA" w:rsidRPr="00E258AA" w:rsidRDefault="00E258AA" w:rsidP="00E258AA">
            <w:pPr>
              <w:widowControl/>
              <w:jc w:val="center"/>
              <w:rPr>
                <w:rFonts w:ascii="宋体" w:hAnsi="宋体" w:cs="宋体"/>
                <w:color w:val="000000"/>
                <w:kern w:val="0"/>
                <w:sz w:val="24"/>
              </w:rPr>
            </w:pPr>
            <w:r>
              <w:rPr>
                <w:rFonts w:ascii="宋体" w:hAnsi="宋体" w:cs="宋体" w:hint="eastAsia"/>
                <w:color w:val="000000"/>
                <w:kern w:val="0"/>
                <w:sz w:val="24"/>
              </w:rPr>
              <w:t>——</w:t>
            </w:r>
          </w:p>
        </w:tc>
      </w:tr>
    </w:tbl>
    <w:p w:rsidR="00C54EBF" w:rsidRDefault="00C54EBF" w:rsidP="00AA5FDD">
      <w:pPr>
        <w:adjustRightInd w:val="0"/>
        <w:spacing w:before="240" w:line="360" w:lineRule="auto"/>
        <w:ind w:firstLineChars="200" w:firstLine="480"/>
        <w:jc w:val="left"/>
        <w:rPr>
          <w:rFonts w:ascii="宋体" w:hAnsi="宋体"/>
          <w:sz w:val="24"/>
          <w:szCs w:val="24"/>
        </w:rPr>
      </w:pPr>
      <w:r>
        <w:rPr>
          <w:rFonts w:ascii="宋体" w:hAnsi="宋体" w:hint="eastAsia"/>
          <w:sz w:val="24"/>
          <w:szCs w:val="24"/>
        </w:rPr>
        <w:t>二、关联方介绍和关联关系</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（一）关联方的基本情况</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1．龙江银行股份有限公司</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注册地址：黑龙江省哈尔滨市道里区友谊路436号</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注册资本：</w:t>
      </w:r>
      <w:r>
        <w:rPr>
          <w:rFonts w:ascii="宋体" w:hAnsi="宋体"/>
          <w:sz w:val="24"/>
          <w:szCs w:val="24"/>
        </w:rPr>
        <w:t>436,000</w:t>
      </w:r>
      <w:r>
        <w:rPr>
          <w:rFonts w:ascii="宋体" w:hAnsi="宋体" w:hint="eastAsia"/>
          <w:sz w:val="24"/>
          <w:szCs w:val="24"/>
        </w:rPr>
        <w:t>万元</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法定代表人：张建辉</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主营业务：提供人民币及外币存款和贷款、付款及结算等银行服务，以及经中国</w:t>
      </w:r>
      <w:r>
        <w:rPr>
          <w:rFonts w:ascii="宋体" w:hAnsi="宋体" w:hint="eastAsia"/>
          <w:sz w:val="24"/>
          <w:szCs w:val="24"/>
        </w:rPr>
        <w:lastRenderedPageBreak/>
        <w:t>银监会核准的其他业务。</w:t>
      </w:r>
    </w:p>
    <w:p w:rsidR="00E258AA" w:rsidRDefault="00E258AA" w:rsidP="00E258AA">
      <w:pPr>
        <w:adjustRightInd w:val="0"/>
        <w:spacing w:line="360" w:lineRule="auto"/>
        <w:ind w:firstLineChars="200" w:firstLine="480"/>
        <w:jc w:val="left"/>
        <w:rPr>
          <w:rFonts w:ascii="宋体" w:hAnsi="宋体"/>
          <w:sz w:val="24"/>
          <w:szCs w:val="24"/>
        </w:rPr>
      </w:pPr>
      <w:r w:rsidRPr="00E258AA">
        <w:rPr>
          <w:rFonts w:ascii="宋体" w:hAnsi="宋体" w:hint="eastAsia"/>
          <w:sz w:val="24"/>
          <w:szCs w:val="24"/>
        </w:rPr>
        <w:t>2020年度，龙江银行股份有限公司总资产2,821.09亿元、净资产179.09亿元、主营业务收入46.40亿元、净利润7.56亿元。</w:t>
      </w:r>
    </w:p>
    <w:p w:rsidR="00C54EBF" w:rsidRDefault="00C54EBF" w:rsidP="00E258AA">
      <w:pPr>
        <w:adjustRightInd w:val="0"/>
        <w:spacing w:line="360" w:lineRule="auto"/>
        <w:ind w:firstLineChars="200" w:firstLine="480"/>
        <w:jc w:val="left"/>
        <w:rPr>
          <w:rFonts w:ascii="宋体" w:hAnsi="宋体"/>
          <w:sz w:val="24"/>
          <w:szCs w:val="24"/>
        </w:rPr>
      </w:pPr>
      <w:r>
        <w:rPr>
          <w:rFonts w:ascii="宋体" w:hAnsi="宋体" w:hint="eastAsia"/>
          <w:sz w:val="24"/>
          <w:szCs w:val="24"/>
        </w:rPr>
        <w:t>2.黑龙江省高速公路集团</w:t>
      </w:r>
      <w:r w:rsidR="000B5996">
        <w:rPr>
          <w:rFonts w:ascii="宋体" w:hAnsi="宋体" w:hint="eastAsia"/>
          <w:sz w:val="24"/>
          <w:szCs w:val="24"/>
        </w:rPr>
        <w:t>有限</w:t>
      </w:r>
      <w:r>
        <w:rPr>
          <w:rFonts w:ascii="宋体" w:hAnsi="宋体" w:hint="eastAsia"/>
          <w:sz w:val="24"/>
          <w:szCs w:val="24"/>
        </w:rPr>
        <w:t>公司</w:t>
      </w:r>
    </w:p>
    <w:p w:rsidR="00E258AA" w:rsidRPr="00E258AA" w:rsidRDefault="00E258AA" w:rsidP="00E258AA">
      <w:pPr>
        <w:autoSpaceDE w:val="0"/>
        <w:autoSpaceDN w:val="0"/>
        <w:adjustRightInd w:val="0"/>
        <w:spacing w:line="360" w:lineRule="auto"/>
        <w:ind w:firstLineChars="200" w:firstLine="480"/>
        <w:outlineLvl w:val="0"/>
        <w:rPr>
          <w:rFonts w:ascii="宋体" w:hAnsi="宋体"/>
          <w:sz w:val="24"/>
          <w:szCs w:val="24"/>
        </w:rPr>
      </w:pPr>
      <w:r w:rsidRPr="00E258AA">
        <w:rPr>
          <w:rFonts w:ascii="宋体" w:hAnsi="宋体" w:hint="eastAsia"/>
          <w:sz w:val="24"/>
          <w:szCs w:val="24"/>
        </w:rPr>
        <w:t>注册地址：哈尔滨市经开区哈平路</w:t>
      </w:r>
      <w:proofErr w:type="gramStart"/>
      <w:r w:rsidRPr="00E258AA">
        <w:rPr>
          <w:rFonts w:ascii="宋体" w:hAnsi="宋体" w:hint="eastAsia"/>
          <w:sz w:val="24"/>
          <w:szCs w:val="24"/>
        </w:rPr>
        <w:t>集中区星海路</w:t>
      </w:r>
      <w:proofErr w:type="gramEnd"/>
      <w:r w:rsidRPr="00E258AA">
        <w:rPr>
          <w:rFonts w:ascii="宋体" w:hAnsi="宋体" w:hint="eastAsia"/>
          <w:sz w:val="24"/>
          <w:szCs w:val="24"/>
        </w:rPr>
        <w:t>20号A栋301室</w:t>
      </w:r>
    </w:p>
    <w:p w:rsidR="00E258AA" w:rsidRPr="00E258AA" w:rsidRDefault="00E258AA" w:rsidP="00E258AA">
      <w:pPr>
        <w:autoSpaceDE w:val="0"/>
        <w:autoSpaceDN w:val="0"/>
        <w:adjustRightInd w:val="0"/>
        <w:spacing w:line="360" w:lineRule="auto"/>
        <w:ind w:firstLineChars="200" w:firstLine="480"/>
        <w:outlineLvl w:val="0"/>
        <w:rPr>
          <w:rFonts w:ascii="宋体" w:hAnsi="宋体"/>
          <w:sz w:val="24"/>
          <w:szCs w:val="24"/>
        </w:rPr>
      </w:pPr>
      <w:r w:rsidRPr="00E258AA">
        <w:rPr>
          <w:rFonts w:ascii="宋体" w:hAnsi="宋体" w:hint="eastAsia"/>
          <w:sz w:val="24"/>
          <w:szCs w:val="24"/>
        </w:rPr>
        <w:t>注册资本：520,523万元</w:t>
      </w:r>
    </w:p>
    <w:p w:rsidR="00E258AA" w:rsidRPr="00E258AA" w:rsidRDefault="00E258AA" w:rsidP="00E258AA">
      <w:pPr>
        <w:autoSpaceDE w:val="0"/>
        <w:autoSpaceDN w:val="0"/>
        <w:adjustRightInd w:val="0"/>
        <w:spacing w:line="360" w:lineRule="auto"/>
        <w:ind w:firstLineChars="200" w:firstLine="480"/>
        <w:outlineLvl w:val="0"/>
        <w:rPr>
          <w:rFonts w:ascii="宋体" w:hAnsi="宋体"/>
          <w:sz w:val="24"/>
          <w:szCs w:val="24"/>
        </w:rPr>
      </w:pPr>
      <w:r w:rsidRPr="00E258AA">
        <w:rPr>
          <w:rFonts w:ascii="宋体" w:hAnsi="宋体" w:hint="eastAsia"/>
          <w:sz w:val="24"/>
          <w:szCs w:val="24"/>
        </w:rPr>
        <w:t>法定代表人：张春雨</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主营业务：公路工程施工贰级。高等级公路的开发，建设，管理，养护，经营。粮油，普通机械，办公设备，汽车配件，房屋租赁，建筑材料。</w:t>
      </w:r>
    </w:p>
    <w:p w:rsidR="00E258AA" w:rsidRPr="00E258AA" w:rsidRDefault="00E258AA" w:rsidP="00E258AA">
      <w:pPr>
        <w:autoSpaceDE w:val="0"/>
        <w:autoSpaceDN w:val="0"/>
        <w:adjustRightInd w:val="0"/>
        <w:spacing w:line="360" w:lineRule="auto"/>
        <w:ind w:firstLineChars="200" w:firstLine="480"/>
        <w:outlineLvl w:val="0"/>
        <w:rPr>
          <w:rFonts w:ascii="宋体" w:hAnsi="宋体"/>
          <w:sz w:val="24"/>
          <w:szCs w:val="24"/>
        </w:rPr>
      </w:pPr>
      <w:r w:rsidRPr="00E258AA">
        <w:rPr>
          <w:rFonts w:ascii="宋体" w:hAnsi="宋体" w:hint="eastAsia"/>
          <w:sz w:val="24"/>
          <w:szCs w:val="24"/>
        </w:rPr>
        <w:t>2020年度，黑龙江省高速公路集团公司总资产75.33 亿元、净资产62.2亿元、主营业务收入5.77亿元、净利润2.28亿元。</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（二）与公司的关联关系</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龙江银行股份有限公司为本公司参股公司，本公司持有其7.9677%的股份，为该行第三大股东。公司于2013年10月向龙江银行派驻董事一名，根据《上海证券交易所股票上市规则》的有关规定，龙江银行构成本公司的关联法人。</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黑龙江省高速公路集团公司为本公司控股股东，持股占本公司总股本的 33.48%。</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（三）前期同类关联交易的执行情况和履约能力分析</w:t>
      </w:r>
    </w:p>
    <w:p w:rsidR="00C54EBF" w:rsidRDefault="00C54EBF" w:rsidP="00C54EBF">
      <w:pPr>
        <w:adjustRightInd w:val="0"/>
        <w:spacing w:line="560" w:lineRule="exact"/>
        <w:ind w:firstLineChars="200" w:firstLine="480"/>
        <w:jc w:val="left"/>
        <w:rPr>
          <w:rFonts w:ascii="宋体" w:hAnsi="宋体"/>
          <w:sz w:val="24"/>
          <w:szCs w:val="24"/>
        </w:rPr>
      </w:pPr>
      <w:r>
        <w:rPr>
          <w:rFonts w:ascii="宋体" w:hAnsi="宋体"/>
          <w:sz w:val="24"/>
          <w:szCs w:val="24"/>
        </w:rPr>
        <w:t>公司与龙江银行的关联交易为公司在龙江银行办理的正常存款业务</w:t>
      </w:r>
      <w:r>
        <w:rPr>
          <w:rFonts w:ascii="宋体" w:hAnsi="宋体" w:hint="eastAsia"/>
          <w:sz w:val="24"/>
          <w:szCs w:val="24"/>
        </w:rPr>
        <w:t>，不会影响公司的财务状况和经营成果，龙江银行股份有限公司自成立以来依法存续,正常经营,履约能力较强,具有相应的支付能力；</w:t>
      </w:r>
      <w:r>
        <w:rPr>
          <w:rFonts w:ascii="宋体" w:hAnsi="宋体"/>
          <w:sz w:val="24"/>
          <w:szCs w:val="24"/>
        </w:rPr>
        <w:t>公司与龙高集团的关联交易已按照合同执行</w:t>
      </w:r>
      <w:r>
        <w:rPr>
          <w:rFonts w:ascii="宋体" w:hAnsi="宋体" w:hint="eastAsia"/>
          <w:sz w:val="24"/>
          <w:szCs w:val="24"/>
        </w:rPr>
        <w:t>，龙高集团具备履约能力。</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三、关联交易主要内容和定价政策</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（一）公司与龙江银行的关联交易</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本公司在龙江银行存款类持续性</w:t>
      </w:r>
      <w:r>
        <w:rPr>
          <w:rFonts w:ascii="宋体" w:hAnsi="宋体"/>
          <w:sz w:val="24"/>
          <w:szCs w:val="24"/>
        </w:rPr>
        <w:t>日常关联交易</w:t>
      </w:r>
      <w:r>
        <w:rPr>
          <w:rFonts w:ascii="宋体" w:hAnsi="宋体" w:hint="eastAsia"/>
          <w:sz w:val="24"/>
          <w:szCs w:val="24"/>
        </w:rPr>
        <w:t>为</w:t>
      </w:r>
      <w:r>
        <w:rPr>
          <w:rFonts w:ascii="宋体" w:hAnsi="宋体"/>
          <w:sz w:val="24"/>
          <w:szCs w:val="24"/>
        </w:rPr>
        <w:t>本</w:t>
      </w:r>
      <w:r>
        <w:rPr>
          <w:rFonts w:ascii="宋体" w:hAnsi="宋体" w:hint="eastAsia"/>
          <w:sz w:val="24"/>
          <w:szCs w:val="24"/>
        </w:rPr>
        <w:t>公司</w:t>
      </w:r>
      <w:r>
        <w:rPr>
          <w:rFonts w:ascii="宋体" w:hAnsi="宋体"/>
          <w:sz w:val="24"/>
          <w:szCs w:val="24"/>
        </w:rPr>
        <w:t>日常业务过程中按一般商业条款进行，具体交易条款系根据存款性质、存款金额及期限、市场状况及适用行业惯例按公平原则协商订立</w:t>
      </w:r>
      <w:r>
        <w:rPr>
          <w:rFonts w:ascii="宋体" w:hAnsi="宋体" w:hint="eastAsia"/>
          <w:sz w:val="24"/>
          <w:szCs w:val="24"/>
        </w:rPr>
        <w:t>。</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（二）公司与龙高集团的关联交易</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公司于2013年6月3日召开了第一届董事会 2013年第五次临时会议，审议通过了《关于公司与龙高集团签订土地、房产租赁合同的议案》，资产租赁价格遵循客观、</w:t>
      </w:r>
      <w:r>
        <w:rPr>
          <w:rFonts w:ascii="宋体" w:hAnsi="宋体" w:hint="eastAsia"/>
          <w:sz w:val="24"/>
          <w:szCs w:val="24"/>
        </w:rPr>
        <w:lastRenderedPageBreak/>
        <w:t>公正和市场化定价原则，以低于市场价格租赁给公司日常经营使用。</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四、关联交易目的和对上市公司的影响</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（一）公司与龙江银行的关联交易</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公司于2010年3月成立之初，在龙江银行股份有限公司营业部开立了基本存款账款，一直以来银企之间的业务关系良好，截至2012年12月31日，公司已持有龙江银行7.97%的股份，并于2013年10月向龙江银行派驻董事一名。根据《上海证券交易所股票上市规则》的相关规定，龙江银行成为本公司关联法人，但并不影响公司在其开设银行账户的正常使用，亦不会影响公司未来财务状况、经营成果，不影响公司经营的独立性，不存在损害公司及其他股东合法权益的情形。</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（二）公司与龙高集团的关联交易</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公司第一届董事会 2013 年第五次临时会议审议通过了《关于大股东龙高集团履行承诺回购房产的议案》，</w:t>
      </w:r>
      <w:r>
        <w:rPr>
          <w:rFonts w:ascii="宋体" w:hAnsi="宋体" w:hint="eastAsia"/>
          <w:color w:val="000000"/>
          <w:sz w:val="24"/>
        </w:rPr>
        <w:t>龙高集团回购哈大高速公路运营管理配套的分公司办公楼接楼、分公司车库、机电系统办公室、安达站接楼、三八站接楼、</w:t>
      </w:r>
      <w:proofErr w:type="gramStart"/>
      <w:r>
        <w:rPr>
          <w:rFonts w:ascii="宋体" w:hAnsi="宋体" w:hint="eastAsia"/>
          <w:color w:val="000000"/>
          <w:sz w:val="24"/>
        </w:rPr>
        <w:t>承平站</w:t>
      </w:r>
      <w:proofErr w:type="gramEnd"/>
      <w:r>
        <w:rPr>
          <w:rFonts w:ascii="宋体" w:hAnsi="宋体" w:hint="eastAsia"/>
          <w:color w:val="000000"/>
          <w:sz w:val="24"/>
        </w:rPr>
        <w:t>接楼、</w:t>
      </w:r>
      <w:proofErr w:type="gramStart"/>
      <w:r>
        <w:rPr>
          <w:rFonts w:ascii="宋体" w:hAnsi="宋体" w:hint="eastAsia"/>
          <w:color w:val="000000"/>
          <w:sz w:val="24"/>
        </w:rPr>
        <w:t>哈站接楼和</w:t>
      </w:r>
      <w:proofErr w:type="gramEnd"/>
      <w:r>
        <w:rPr>
          <w:rFonts w:ascii="宋体" w:hAnsi="宋体" w:hint="eastAsia"/>
          <w:color w:val="000000"/>
          <w:sz w:val="24"/>
        </w:rPr>
        <w:t>大庆</w:t>
      </w:r>
      <w:proofErr w:type="gramStart"/>
      <w:r>
        <w:rPr>
          <w:rFonts w:ascii="宋体" w:hAnsi="宋体" w:hint="eastAsia"/>
          <w:color w:val="000000"/>
          <w:sz w:val="24"/>
        </w:rPr>
        <w:t>站接楼及</w:t>
      </w:r>
      <w:proofErr w:type="gramEnd"/>
      <w:r>
        <w:rPr>
          <w:rFonts w:ascii="宋体" w:hAnsi="宋体" w:hint="eastAsia"/>
          <w:color w:val="000000"/>
          <w:sz w:val="24"/>
        </w:rPr>
        <w:t>养护分公司车库等9处房产（包含公司上市时龙高集团承诺回购的8处房产）。</w:t>
      </w:r>
      <w:r>
        <w:rPr>
          <w:rFonts w:ascii="宋体" w:hAnsi="宋体" w:hint="eastAsia"/>
          <w:sz w:val="24"/>
          <w:szCs w:val="24"/>
        </w:rPr>
        <w:t xml:space="preserve">2013年6月公司与龙高集团签订租赁协议，向龙高集团租赁上述房产，年租金50万元，租赁期限至哈大高速公路收费权终止或不再经营哈大高速公路收费权时。         </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本关联交易预计事项系因公司日常经营活动而发生，并遵循公开、公平、公正的原则，此项交易不会影响公司未来财务状况、经营成果，不影响公司经营的独立性，不存在损害公司及其他股东合法权益的情形。</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五、备查文件</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1.公司第三届董事会第</w:t>
      </w:r>
      <w:r w:rsidR="00E258AA">
        <w:rPr>
          <w:rFonts w:ascii="宋体" w:hAnsi="宋体" w:hint="eastAsia"/>
          <w:sz w:val="24"/>
          <w:szCs w:val="24"/>
        </w:rPr>
        <w:t>四</w:t>
      </w:r>
      <w:r>
        <w:rPr>
          <w:rFonts w:ascii="宋体" w:hAnsi="宋体" w:hint="eastAsia"/>
          <w:sz w:val="24"/>
          <w:szCs w:val="24"/>
        </w:rPr>
        <w:t>次会议决议；</w:t>
      </w:r>
    </w:p>
    <w:p w:rsidR="00C54EBF" w:rsidRDefault="00C54EBF" w:rsidP="00C54EBF">
      <w:pPr>
        <w:adjustRightInd w:val="0"/>
        <w:spacing w:line="360" w:lineRule="auto"/>
        <w:ind w:firstLineChars="200" w:firstLine="480"/>
        <w:jc w:val="left"/>
        <w:rPr>
          <w:rFonts w:ascii="宋体" w:hAnsi="宋体"/>
          <w:sz w:val="24"/>
          <w:szCs w:val="24"/>
        </w:rPr>
      </w:pPr>
      <w:r>
        <w:rPr>
          <w:rFonts w:ascii="宋体" w:hAnsi="宋体" w:hint="eastAsia"/>
          <w:sz w:val="24"/>
          <w:szCs w:val="24"/>
        </w:rPr>
        <w:t>2.独立董事</w:t>
      </w:r>
      <w:r w:rsidR="00E258AA">
        <w:rPr>
          <w:rFonts w:ascii="宋体" w:hAnsi="宋体" w:hint="eastAsia"/>
          <w:sz w:val="24"/>
          <w:szCs w:val="24"/>
        </w:rPr>
        <w:t>关于第三届董事会第四次会议相关事项的独立</w:t>
      </w:r>
      <w:r>
        <w:rPr>
          <w:rFonts w:ascii="宋体" w:hAnsi="宋体" w:hint="eastAsia"/>
          <w:sz w:val="24"/>
          <w:szCs w:val="24"/>
        </w:rPr>
        <w:t>意见。</w:t>
      </w:r>
    </w:p>
    <w:p w:rsidR="00C54EBF" w:rsidRDefault="00C54EBF" w:rsidP="00C54EBF">
      <w:pPr>
        <w:adjustRightInd w:val="0"/>
        <w:spacing w:before="240" w:line="360" w:lineRule="auto"/>
        <w:ind w:firstLineChars="200" w:firstLine="480"/>
        <w:jc w:val="left"/>
        <w:rPr>
          <w:rFonts w:ascii="宋体" w:hAnsi="宋体"/>
          <w:bCs/>
          <w:sz w:val="24"/>
          <w:szCs w:val="24"/>
        </w:rPr>
      </w:pPr>
      <w:r>
        <w:rPr>
          <w:rFonts w:ascii="宋体" w:hAnsi="宋体" w:hint="eastAsia"/>
          <w:bCs/>
          <w:sz w:val="24"/>
          <w:szCs w:val="24"/>
        </w:rPr>
        <w:t>特此公告。</w:t>
      </w:r>
    </w:p>
    <w:p w:rsidR="00C54EBF" w:rsidRDefault="00C54EBF" w:rsidP="00C54EBF">
      <w:pPr>
        <w:adjustRightInd w:val="0"/>
        <w:spacing w:line="360" w:lineRule="auto"/>
        <w:ind w:firstLineChars="200" w:firstLine="480"/>
        <w:jc w:val="right"/>
        <w:rPr>
          <w:rFonts w:ascii="宋体" w:hAnsi="宋体"/>
          <w:bCs/>
          <w:sz w:val="24"/>
          <w:szCs w:val="24"/>
        </w:rPr>
      </w:pPr>
      <w:r>
        <w:rPr>
          <w:rFonts w:ascii="宋体" w:hAnsi="宋体" w:hint="eastAsia"/>
          <w:bCs/>
          <w:sz w:val="24"/>
          <w:szCs w:val="24"/>
        </w:rPr>
        <w:t xml:space="preserve">                     </w:t>
      </w:r>
    </w:p>
    <w:p w:rsidR="00C54EBF" w:rsidRDefault="00C54EBF" w:rsidP="00C54EBF">
      <w:pPr>
        <w:adjustRightInd w:val="0"/>
        <w:spacing w:line="360" w:lineRule="auto"/>
        <w:ind w:firstLineChars="200" w:firstLine="480"/>
        <w:jc w:val="right"/>
        <w:rPr>
          <w:rFonts w:ascii="宋体" w:hAnsi="宋体"/>
          <w:bCs/>
          <w:sz w:val="24"/>
          <w:szCs w:val="24"/>
        </w:rPr>
      </w:pPr>
    </w:p>
    <w:p w:rsidR="00C54EBF" w:rsidRDefault="00C54EBF" w:rsidP="00C54EBF">
      <w:pPr>
        <w:adjustRightInd w:val="0"/>
        <w:spacing w:line="360" w:lineRule="auto"/>
        <w:ind w:firstLineChars="200" w:firstLine="480"/>
        <w:jc w:val="right"/>
        <w:rPr>
          <w:rFonts w:ascii="宋体" w:hAnsi="宋体"/>
          <w:bCs/>
          <w:sz w:val="24"/>
          <w:szCs w:val="24"/>
        </w:rPr>
      </w:pPr>
      <w:r>
        <w:rPr>
          <w:rFonts w:ascii="宋体" w:hAnsi="宋体" w:hint="eastAsia"/>
          <w:bCs/>
          <w:sz w:val="24"/>
          <w:szCs w:val="24"/>
        </w:rPr>
        <w:t>黑龙江交通发展股份有限公司董事会</w:t>
      </w:r>
    </w:p>
    <w:p w:rsidR="00C54EBF" w:rsidRDefault="00C54EBF" w:rsidP="00C54EBF">
      <w:pPr>
        <w:adjustRightInd w:val="0"/>
        <w:spacing w:line="360" w:lineRule="auto"/>
        <w:ind w:firstLineChars="200" w:firstLine="480"/>
        <w:jc w:val="center"/>
        <w:rPr>
          <w:rFonts w:ascii="宋体" w:hAnsi="宋体"/>
          <w:bCs/>
          <w:sz w:val="24"/>
          <w:szCs w:val="24"/>
        </w:rPr>
      </w:pPr>
      <w:r>
        <w:rPr>
          <w:rFonts w:ascii="宋体" w:hAnsi="宋体" w:hint="eastAsia"/>
          <w:bCs/>
          <w:sz w:val="24"/>
          <w:szCs w:val="24"/>
        </w:rPr>
        <w:t xml:space="preserve">                                     202</w:t>
      </w:r>
      <w:r w:rsidR="00E258AA">
        <w:rPr>
          <w:rFonts w:ascii="宋体" w:hAnsi="宋体" w:hint="eastAsia"/>
          <w:bCs/>
          <w:sz w:val="24"/>
          <w:szCs w:val="24"/>
        </w:rPr>
        <w:t>1</w:t>
      </w:r>
      <w:r>
        <w:rPr>
          <w:rFonts w:ascii="宋体" w:hAnsi="宋体" w:hint="eastAsia"/>
          <w:bCs/>
          <w:sz w:val="24"/>
          <w:szCs w:val="24"/>
        </w:rPr>
        <w:t>年</w:t>
      </w:r>
      <w:r w:rsidR="00E258AA">
        <w:rPr>
          <w:rFonts w:ascii="宋体" w:hAnsi="宋体" w:hint="eastAsia"/>
          <w:bCs/>
          <w:sz w:val="24"/>
          <w:szCs w:val="24"/>
        </w:rPr>
        <w:t>3</w:t>
      </w:r>
      <w:r>
        <w:rPr>
          <w:rFonts w:ascii="宋体" w:hAnsi="宋体" w:hint="eastAsia"/>
          <w:bCs/>
          <w:sz w:val="24"/>
          <w:szCs w:val="24"/>
        </w:rPr>
        <w:t>月</w:t>
      </w:r>
      <w:r w:rsidR="00E258AA">
        <w:rPr>
          <w:rFonts w:ascii="宋体" w:hAnsi="宋体" w:hint="eastAsia"/>
          <w:bCs/>
          <w:sz w:val="24"/>
          <w:szCs w:val="24"/>
        </w:rPr>
        <w:t>25</w:t>
      </w:r>
      <w:r>
        <w:rPr>
          <w:rFonts w:ascii="宋体" w:hAnsi="宋体" w:hint="eastAsia"/>
          <w:bCs/>
          <w:sz w:val="24"/>
          <w:szCs w:val="24"/>
        </w:rPr>
        <w:t>日</w:t>
      </w:r>
    </w:p>
    <w:p w:rsidR="00C54EBF" w:rsidRDefault="00C54EBF" w:rsidP="00C54EBF"/>
    <w:sectPr w:rsidR="00C54EBF">
      <w:footerReference w:type="even" r:id="rId8"/>
      <w:footerReference w:type="default" r:id="rId9"/>
      <w:pgSz w:w="11906" w:h="16838"/>
      <w:pgMar w:top="1531" w:right="1474" w:bottom="141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EA" w:rsidRDefault="003478EA" w:rsidP="00C54EBF">
      <w:r>
        <w:separator/>
      </w:r>
    </w:p>
  </w:endnote>
  <w:endnote w:type="continuationSeparator" w:id="0">
    <w:p w:rsidR="003478EA" w:rsidRDefault="003478EA" w:rsidP="00C5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3F" w:rsidRDefault="008B30D0">
    <w:pPr>
      <w:pStyle w:val="a4"/>
      <w:framePr w:wrap="around" w:vAnchor="text" w:hAnchor="margin" w:xAlign="center" w:y="1"/>
      <w:rPr>
        <w:rStyle w:val="a5"/>
      </w:rPr>
    </w:pPr>
    <w:r>
      <w:fldChar w:fldCharType="begin"/>
    </w:r>
    <w:r>
      <w:rPr>
        <w:rStyle w:val="a5"/>
      </w:rPr>
      <w:instrText xml:space="preserve">PAGE  </w:instrText>
    </w:r>
    <w:r>
      <w:fldChar w:fldCharType="end"/>
    </w:r>
  </w:p>
  <w:p w:rsidR="00382E3F" w:rsidRDefault="003478E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3F" w:rsidRDefault="008B30D0">
    <w:pPr>
      <w:pStyle w:val="a4"/>
      <w:framePr w:wrap="around" w:vAnchor="text" w:hAnchor="margin" w:xAlign="center" w:y="1"/>
      <w:rPr>
        <w:rStyle w:val="a5"/>
      </w:rPr>
    </w:pPr>
    <w:r>
      <w:fldChar w:fldCharType="begin"/>
    </w:r>
    <w:r>
      <w:rPr>
        <w:rStyle w:val="a5"/>
      </w:rPr>
      <w:instrText xml:space="preserve">PAGE  </w:instrText>
    </w:r>
    <w:r>
      <w:fldChar w:fldCharType="separate"/>
    </w:r>
    <w:r w:rsidR="006F1C8F">
      <w:rPr>
        <w:rStyle w:val="a5"/>
        <w:noProof/>
      </w:rPr>
      <w:t>3</w:t>
    </w:r>
    <w:r>
      <w:fldChar w:fldCharType="end"/>
    </w:r>
  </w:p>
  <w:p w:rsidR="00382E3F" w:rsidRDefault="003478E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EA" w:rsidRDefault="003478EA" w:rsidP="00C54EBF">
      <w:r>
        <w:separator/>
      </w:r>
    </w:p>
  </w:footnote>
  <w:footnote w:type="continuationSeparator" w:id="0">
    <w:p w:rsidR="003478EA" w:rsidRDefault="003478EA" w:rsidP="00C54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66D9A"/>
    <w:multiLevelType w:val="multilevel"/>
    <w:tmpl w:val="61A66D9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E2E"/>
    <w:rsid w:val="00036B25"/>
    <w:rsid w:val="00084D8B"/>
    <w:rsid w:val="000B5996"/>
    <w:rsid w:val="000D420B"/>
    <w:rsid w:val="000E4C11"/>
    <w:rsid w:val="000E4E2D"/>
    <w:rsid w:val="001166D2"/>
    <w:rsid w:val="00124DB1"/>
    <w:rsid w:val="0015697C"/>
    <w:rsid w:val="00177869"/>
    <w:rsid w:val="001816DB"/>
    <w:rsid w:val="0018362F"/>
    <w:rsid w:val="00187599"/>
    <w:rsid w:val="001928C4"/>
    <w:rsid w:val="001A1732"/>
    <w:rsid w:val="001F6587"/>
    <w:rsid w:val="00200F6F"/>
    <w:rsid w:val="00264916"/>
    <w:rsid w:val="0027198D"/>
    <w:rsid w:val="002904A9"/>
    <w:rsid w:val="00294D47"/>
    <w:rsid w:val="002B5B9E"/>
    <w:rsid w:val="002E0505"/>
    <w:rsid w:val="002E20C1"/>
    <w:rsid w:val="002E3C30"/>
    <w:rsid w:val="00302335"/>
    <w:rsid w:val="00335C82"/>
    <w:rsid w:val="003478EA"/>
    <w:rsid w:val="00391389"/>
    <w:rsid w:val="003A357D"/>
    <w:rsid w:val="003D4B82"/>
    <w:rsid w:val="003E73C2"/>
    <w:rsid w:val="00401A0B"/>
    <w:rsid w:val="00417926"/>
    <w:rsid w:val="00424D7C"/>
    <w:rsid w:val="004256EC"/>
    <w:rsid w:val="00440D88"/>
    <w:rsid w:val="00444B9D"/>
    <w:rsid w:val="0047614C"/>
    <w:rsid w:val="00482BD8"/>
    <w:rsid w:val="00503FB1"/>
    <w:rsid w:val="005242E1"/>
    <w:rsid w:val="00546591"/>
    <w:rsid w:val="0056226F"/>
    <w:rsid w:val="00580944"/>
    <w:rsid w:val="005C3808"/>
    <w:rsid w:val="006174EC"/>
    <w:rsid w:val="00617524"/>
    <w:rsid w:val="00624F98"/>
    <w:rsid w:val="0063418D"/>
    <w:rsid w:val="006501D6"/>
    <w:rsid w:val="0065649D"/>
    <w:rsid w:val="006724E7"/>
    <w:rsid w:val="0068510E"/>
    <w:rsid w:val="006873AF"/>
    <w:rsid w:val="006A26CC"/>
    <w:rsid w:val="006C1505"/>
    <w:rsid w:val="006C6B17"/>
    <w:rsid w:val="006F1C8F"/>
    <w:rsid w:val="007028D8"/>
    <w:rsid w:val="0070635A"/>
    <w:rsid w:val="00716FDF"/>
    <w:rsid w:val="007170D2"/>
    <w:rsid w:val="0072069E"/>
    <w:rsid w:val="00721319"/>
    <w:rsid w:val="0073110B"/>
    <w:rsid w:val="00733AF8"/>
    <w:rsid w:val="007344CC"/>
    <w:rsid w:val="00745675"/>
    <w:rsid w:val="007B5235"/>
    <w:rsid w:val="007C7703"/>
    <w:rsid w:val="007D37E0"/>
    <w:rsid w:val="00820E67"/>
    <w:rsid w:val="008518F7"/>
    <w:rsid w:val="0088338E"/>
    <w:rsid w:val="008874E1"/>
    <w:rsid w:val="008B30D0"/>
    <w:rsid w:val="008E2609"/>
    <w:rsid w:val="00926D64"/>
    <w:rsid w:val="00931C54"/>
    <w:rsid w:val="00942C0B"/>
    <w:rsid w:val="00977D6C"/>
    <w:rsid w:val="00981E18"/>
    <w:rsid w:val="009932D3"/>
    <w:rsid w:val="009B0EA8"/>
    <w:rsid w:val="009C2A70"/>
    <w:rsid w:val="00A45B91"/>
    <w:rsid w:val="00A517AC"/>
    <w:rsid w:val="00A713F2"/>
    <w:rsid w:val="00A7342B"/>
    <w:rsid w:val="00A760C3"/>
    <w:rsid w:val="00AA5FDD"/>
    <w:rsid w:val="00AC38F4"/>
    <w:rsid w:val="00AD1204"/>
    <w:rsid w:val="00AE1353"/>
    <w:rsid w:val="00B130F0"/>
    <w:rsid w:val="00B25448"/>
    <w:rsid w:val="00B34BA3"/>
    <w:rsid w:val="00B36E69"/>
    <w:rsid w:val="00B3776A"/>
    <w:rsid w:val="00B706D3"/>
    <w:rsid w:val="00B844B3"/>
    <w:rsid w:val="00BC1244"/>
    <w:rsid w:val="00BC7AC3"/>
    <w:rsid w:val="00BD787E"/>
    <w:rsid w:val="00C10EA6"/>
    <w:rsid w:val="00C11F21"/>
    <w:rsid w:val="00C36381"/>
    <w:rsid w:val="00C54EBF"/>
    <w:rsid w:val="00C67BC5"/>
    <w:rsid w:val="00CB5A73"/>
    <w:rsid w:val="00CC3EA4"/>
    <w:rsid w:val="00D236CF"/>
    <w:rsid w:val="00D357CC"/>
    <w:rsid w:val="00D35DA4"/>
    <w:rsid w:val="00D43698"/>
    <w:rsid w:val="00D44EEF"/>
    <w:rsid w:val="00D941CA"/>
    <w:rsid w:val="00DB1D7F"/>
    <w:rsid w:val="00DB3F12"/>
    <w:rsid w:val="00DC706A"/>
    <w:rsid w:val="00E063FF"/>
    <w:rsid w:val="00E1174B"/>
    <w:rsid w:val="00E258AA"/>
    <w:rsid w:val="00E259E4"/>
    <w:rsid w:val="00E430B9"/>
    <w:rsid w:val="00E556DA"/>
    <w:rsid w:val="00E57B61"/>
    <w:rsid w:val="00E624C7"/>
    <w:rsid w:val="00E72452"/>
    <w:rsid w:val="00EB7C61"/>
    <w:rsid w:val="00EF1E67"/>
    <w:rsid w:val="00F04E2E"/>
    <w:rsid w:val="00F058BF"/>
    <w:rsid w:val="00F25B84"/>
    <w:rsid w:val="00F57049"/>
    <w:rsid w:val="00F57269"/>
    <w:rsid w:val="00FD769F"/>
    <w:rsid w:val="00FE0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EB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E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4EBF"/>
    <w:rPr>
      <w:sz w:val="18"/>
      <w:szCs w:val="18"/>
    </w:rPr>
  </w:style>
  <w:style w:type="paragraph" w:styleId="a4">
    <w:name w:val="footer"/>
    <w:basedOn w:val="a"/>
    <w:link w:val="Char0"/>
    <w:unhideWhenUsed/>
    <w:qFormat/>
    <w:rsid w:val="00C54EBF"/>
    <w:pPr>
      <w:tabs>
        <w:tab w:val="center" w:pos="4153"/>
        <w:tab w:val="right" w:pos="8306"/>
      </w:tabs>
      <w:snapToGrid w:val="0"/>
      <w:jc w:val="left"/>
    </w:pPr>
    <w:rPr>
      <w:sz w:val="18"/>
      <w:szCs w:val="18"/>
    </w:rPr>
  </w:style>
  <w:style w:type="character" w:customStyle="1" w:styleId="Char0">
    <w:name w:val="页脚 Char"/>
    <w:basedOn w:val="a0"/>
    <w:link w:val="a4"/>
    <w:qFormat/>
    <w:rsid w:val="00C54EBF"/>
    <w:rPr>
      <w:sz w:val="18"/>
      <w:szCs w:val="18"/>
    </w:rPr>
  </w:style>
  <w:style w:type="character" w:styleId="a5">
    <w:name w:val="page number"/>
    <w:rsid w:val="00C54EBF"/>
  </w:style>
  <w:style w:type="paragraph" w:styleId="a6">
    <w:name w:val="List Paragraph"/>
    <w:basedOn w:val="a"/>
    <w:uiPriority w:val="34"/>
    <w:qFormat/>
    <w:rsid w:val="00C54EB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EB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E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4EBF"/>
    <w:rPr>
      <w:sz w:val="18"/>
      <w:szCs w:val="18"/>
    </w:rPr>
  </w:style>
  <w:style w:type="paragraph" w:styleId="a4">
    <w:name w:val="footer"/>
    <w:basedOn w:val="a"/>
    <w:link w:val="Char0"/>
    <w:unhideWhenUsed/>
    <w:qFormat/>
    <w:rsid w:val="00C54EBF"/>
    <w:pPr>
      <w:tabs>
        <w:tab w:val="center" w:pos="4153"/>
        <w:tab w:val="right" w:pos="8306"/>
      </w:tabs>
      <w:snapToGrid w:val="0"/>
      <w:jc w:val="left"/>
    </w:pPr>
    <w:rPr>
      <w:sz w:val="18"/>
      <w:szCs w:val="18"/>
    </w:rPr>
  </w:style>
  <w:style w:type="character" w:customStyle="1" w:styleId="Char0">
    <w:name w:val="页脚 Char"/>
    <w:basedOn w:val="a0"/>
    <w:link w:val="a4"/>
    <w:qFormat/>
    <w:rsid w:val="00C54EBF"/>
    <w:rPr>
      <w:sz w:val="18"/>
      <w:szCs w:val="18"/>
    </w:rPr>
  </w:style>
  <w:style w:type="character" w:styleId="a5">
    <w:name w:val="page number"/>
    <w:rsid w:val="00C54EBF"/>
  </w:style>
  <w:style w:type="paragraph" w:styleId="a6">
    <w:name w:val="List Paragraph"/>
    <w:basedOn w:val="a"/>
    <w:uiPriority w:val="34"/>
    <w:qFormat/>
    <w:rsid w:val="00C54E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2021-03-26T01:49:00Z</cp:lastPrinted>
  <dcterms:created xsi:type="dcterms:W3CDTF">2021-03-18T02:39:00Z</dcterms:created>
  <dcterms:modified xsi:type="dcterms:W3CDTF">2021-03-26T01:52:00Z</dcterms:modified>
</cp:coreProperties>
</file>